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10" w:space="1"/>
        </w:pBdr>
        <w:spacing w:after="18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01 — Tempo Indeterminato</w:t>
      </w:r>
    </w:p>
    <w:p>
      <w:pPr>
        <w:spacing w:after="140" w:before="40"/>
      </w:pPr>
      <w:r>
        <w:rPr>
          <w:rFonts w:ascii="Arial" w:cs="Arial" w:eastAsia="Arial" w:hAnsi="Arial"/>
          <w:i/>
          <w:iCs/>
          <w:color w:val="5B5EA6"/>
          <w:sz w:val="18"/>
          <w:szCs w:val="18"/>
        </w:rPr>
        <w:t xml:space="preserve">📋 Rif. normativo: Art. 1 D.Lgs. 81/2015; Art. 2094 c.c.; L. 300/1970; D.Lgs. 23/2015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Descrizione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Il contratto a tempo indeterminato costituisce la forma contrattuale comune del rapporto di lavoro subordinato (art. 1 D.Lgs. 81/2015). Non prevede una scadenza predeterminata. Può essere full-time (orario intero secondo CCNL, di norma 40 ore/settimana) o part-time (orario ridotto, con distribuzione settimanale obbligatoria).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Full-time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Orario: pieno secondo CCNL (di norma 40 ore/settimana)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Nessun limite quantitativo: liberamente stipulabile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Nessuna causale richiesta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Part-time (artt. 4-12 D.Lgs. 81/2015)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Orizzontale: riduzione giornaliera (es. 4 ore/giorno)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Verticale: orario pieno ma solo certi giorni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Misto: combinazione orizzontale e verticale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Distribuzione orario settimanale obbligatoria nel contratto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Lavoro supplementare: ammesso entro 25% ore, con maggiorazione</w:t>
      </w:r>
    </w:p>
    <w:p>
      <w:pPr>
        <w:shd w:fill="FFF3CD" w:val="clear"/>
        <w:spacing w:after="100" w:before="14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⚠  Le agevolazioni si applicano proporzionalmente all'orario ridotto per il part-time.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Agevolazioni principali applicabili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Bonus Giovani 2026 (D.L. 62/2026): Under 35 disoccupati da 24 mesi — 100% per 24 mesi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Esonero Under 30 (L. 205/2017): mai assunti TI — 50% per 36 mesi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Bonus Donne 2026: donne disoccupate da 24 mesi — 100% per 24 mesi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 50 disoccupato (L. 92/2012): 50% per 18 mesi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NASpI: 20% indennità residua (solo TI full-time)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ZES/Mezzogiorno: esoneri specifici per le regioni agevolate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Obblighi del datore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Comunicazione UNILAV preventiva entro le 24:00 del giorno precedente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Consegna copia contratto al lavoratore entro 30 giorni (D.Lgs. 104/2022)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Redazione/aggiornamento DVR (D.Lgs. 81/2008 art. 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Iscrizione INPS e INAIL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2026-06-02T16:19:28.231Z</dcterms:created>
  <dcterms:modified xsi:type="dcterms:W3CDTF">2026-06-02T16:19:28.244Z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