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10" w:space="1"/>
        </w:pBdr>
        <w:spacing w:after="18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02 — Tempo Determinato</w:t>
      </w:r>
    </w:p>
    <w:p>
      <w:pPr>
        <w:spacing w:after="140" w:before="40"/>
      </w:pPr>
      <w:r>
        <w:rPr>
          <w:rFonts w:ascii="Arial" w:cs="Arial" w:eastAsia="Arial" w:hAnsi="Arial"/>
          <w:i/>
          <w:iCs/>
          <w:color w:val="5B5EA6"/>
          <w:sz w:val="18"/>
          <w:szCs w:val="18"/>
        </w:rPr>
        <w:t xml:space="preserve">📋 Rif. normativo: Artt. 19-29 D.Lgs. 81/2015; D.L. 87/2018 conv. L. 96/2018; D.L. 48/2023 conv. L. 85/2023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Descrizione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Il contratto a tempo determinato ha una durata prestabilita con data di scadenza. Cessa automaticamente alla scadenza. Può essere full-time o part-time. La causale è libera nei primi 12 mesi; obbligatoria oltre.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Durata e causali (art. 19 D.Lgs. 81/2015)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Fino a 12 mesi: libero, senza causale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Oltre 12 mesi o in caso di rinnovo: causale obbligatoria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Durata massima complessiva: 24 mesi (proroghe e rinnovi inclusi)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 4 proroghe nell'arco dei 24 mesi</w:t>
      </w:r>
    </w:p>
    <w:p>
      <w:pPr>
        <w:shd w:fill="FFF3CD" w:val="clear"/>
        <w:spacing w:after="100" w:before="14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⚠  Causali valide: sostituzione lavoratore assente; esigenze temporanee estranee all'ordinaria attività; incrementi temporanei non programmabili dell'attività (D.L. 48/2023).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Divieti (art. 20 D.Lgs. 81/2015)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Sostituzione di lavoratori in sciopero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Aziende con licenziamenti collettivi negli ultimi 6 mesi per le stesse mansioni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Aziende con CIG attiva per le stesse mansioni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Imprese senza DVR redatto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Part-time a tempo determinato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Stesse regole del TI part-time per la distribuzione orario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distribuzione orario settimanale è obbligatoria nel contratto</w:t>
      </w:r>
    </w:p>
    <w:p>
      <w:pPr>
        <w:shd w:fill="FFF3CD" w:val="clear"/>
        <w:spacing w:after="100" w:before="14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⚠  Contributo addizionale 1,40% sulla retribuzione imponibile INPS. Rimborsato in caso di trasformazione a TI.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Limiti quantitativi (art. 23)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Massimo 20% dei lavoratori TI in forza al 1° gennaio. Per datori fino a 5 dipendenti: almeno 1 contratto sempre ammesso.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Diritti di precedenza (art. 24)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Dopo 6 mesi di lavoro a termine: diritto di precedenza per assunzioni TI nelle stesse mansioni nei 12 mesi successivi. Va esercitato per iscritto entro 6 mesi dalla cessazione.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2026-06-02T16:19:28.458Z</dcterms:created>
  <dcterms:modified xsi:type="dcterms:W3CDTF">2026-06-02T16:19:28.458Z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