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3311" w14:textId="413663FA" w:rsidR="0050562A" w:rsidRPr="0050562A" w:rsidRDefault="0050562A" w:rsidP="00FE7C00">
      <w:pPr>
        <w:jc w:val="center"/>
      </w:pPr>
      <w:r w:rsidRPr="0050562A">
        <w:rPr>
          <w:b/>
          <w:bCs/>
        </w:rPr>
        <w:t>Tether: Solving the Last Mile Problem in Mental Health Through Intelligent Social Prescribing</w:t>
      </w:r>
    </w:p>
    <w:p w14:paraId="785A06AE" w14:textId="77777777" w:rsidR="00FE7C00" w:rsidRDefault="00FE7C00" w:rsidP="00FE7C00">
      <w:pPr>
        <w:ind w:firstLine="720"/>
      </w:pPr>
      <w:r>
        <w:t xml:space="preserve">I believe a major </w:t>
      </w:r>
      <w:r w:rsidR="0050562A" w:rsidRPr="0050562A">
        <w:t>opportunity for positive change in healthcare lies in solving the "last mile" problem of mental health treatment: the gap between clinical diagnosis and effective community support. While the U.S. mental health</w:t>
      </w:r>
      <w:r>
        <w:t xml:space="preserve">care </w:t>
      </w:r>
      <w:r w:rsidR="0050562A" w:rsidRPr="0050562A">
        <w:t>system has improved access to diagnosis and medication management, patients still fail to connect with the social support structures critical to recovery. This represents a massive inefficiency where an estimated 20-30% of psychiatric readmissions could be prevented through effective community engagement (Owusu et al., 2022), yet current solutions treat social prescribing as a logistics problem rather than a human-centered challenge.</w:t>
      </w:r>
    </w:p>
    <w:p w14:paraId="780A228E" w14:textId="77777777" w:rsidR="00FE7C00" w:rsidRDefault="0050562A" w:rsidP="00FE7C00">
      <w:pPr>
        <w:ind w:firstLine="720"/>
      </w:pPr>
      <w:r w:rsidRPr="0050562A">
        <w:t xml:space="preserve">The market opportunity is substantial. The Social Determinants of Health (SDOH) technology market was valued at approximately $8 billion in 2024 and is projected to reach $44 billion by 2030, growing at a compound annual growth rate of </w:t>
      </w:r>
      <w:r w:rsidR="00FE7C00">
        <w:t>over 20% (</w:t>
      </w:r>
      <w:r w:rsidRPr="0050562A">
        <w:t xml:space="preserve">Data Bridge Market Research, 2023). Within this space, mental health represents the highest-impact target because social isolation and lack of community support are </w:t>
      </w:r>
      <w:r w:rsidR="00FE7C00">
        <w:t xml:space="preserve">closely </w:t>
      </w:r>
      <w:r w:rsidRPr="0050562A">
        <w:t>linked to treatment failure, readmission, and poor outcomes.</w:t>
      </w:r>
      <w:r w:rsidR="00FE7C00">
        <w:t xml:space="preserve"> </w:t>
      </w:r>
      <w:r w:rsidRPr="0050562A">
        <w:t>In 2024, 43% of U.S. adults reported feeling more anxious than the previous year, up from 37% in 2023 and 32% in 2022 (American Psychiatric Association, 2024). Depression rates have reached historic highs, with 29% of Americans reporting a lifetime diagnosis of depression and 17.8% currently experiencing depression (Gallup, 2023). A CNN/Kaiser Family Foundation poll found that 90% of Americans feel the nation is experiencing a mental health crisis (Pew Charitable Trusts, 2023).</w:t>
      </w:r>
    </w:p>
    <w:p w14:paraId="6C91C668" w14:textId="693FF94C" w:rsidR="0050562A" w:rsidRPr="0050562A" w:rsidRDefault="00FE7C00" w:rsidP="00FE7C00">
      <w:pPr>
        <w:ind w:firstLine="720"/>
      </w:pPr>
      <w:r>
        <w:t>E</w:t>
      </w:r>
      <w:r w:rsidR="0050562A" w:rsidRPr="0050562A">
        <w:t>vidence demonstrates that social prescribing works when done correctly</w:t>
      </w:r>
      <w:r>
        <w:t>,</w:t>
      </w:r>
      <w:r w:rsidR="0050562A" w:rsidRPr="0050562A">
        <w:t xml:space="preserve"> but adherence remains </w:t>
      </w:r>
      <w:r>
        <w:t>a</w:t>
      </w:r>
      <w:r w:rsidR="0050562A" w:rsidRPr="0050562A">
        <w:t xml:space="preserve"> critical barrier. Systematic reviews of social prescribing interventions report mean attrition rates of 38% and adherence rates of </w:t>
      </w:r>
      <w:r>
        <w:t>under 50%</w:t>
      </w:r>
      <w:r w:rsidR="0050562A" w:rsidRPr="0050562A">
        <w:t xml:space="preserve"> because referrals are often generic and mismatched to patient needs (Cooper et al., 2024). However, when patients are matched appropriately to community resources, studies show reductions in healthcare utilization by up to 28% and improvements in </w:t>
      </w:r>
      <w:r>
        <w:t>QOL</w:t>
      </w:r>
      <w:r w:rsidR="0050562A" w:rsidRPr="0050562A">
        <w:t xml:space="preserve"> scores by 15-20% (Pescheny et al., 2020). Research also confirms that care matched to a person's preferences and values leads to better engagement, adherence, and satisfaction with treatment (Cooper et al., 2023).</w:t>
      </w:r>
    </w:p>
    <w:p w14:paraId="2F7570A7" w14:textId="724DC9DC" w:rsidR="0050562A" w:rsidRPr="0050562A" w:rsidRDefault="00FE7C00" w:rsidP="00B56602">
      <w:pPr>
        <w:ind w:firstLine="720"/>
      </w:pPr>
      <w:r>
        <w:t>Cost savings through preventative mental healthcare is compelling.</w:t>
      </w:r>
      <w:r w:rsidR="0050562A" w:rsidRPr="0050562A">
        <w:t xml:space="preserve"> The mean psychiatric readmission rate for Medicare inpatient psychiatric facilities is 18.5%, significantly higher than the 14.4% rate for general hospitals (Buck &amp; Lowenstein, 2021). The average cost of a psychiatric readmission ranges from $8,500 to $9,300 (Mehta et al., 2019), and approximately 22% of schizophrenia hospitalizations result in 30-day </w:t>
      </w:r>
      <w:r w:rsidR="0050562A" w:rsidRPr="0050562A">
        <w:lastRenderedPageBreak/>
        <w:t>readmissions (Mehta et al., 2019). For schizophrenia alone, readmissions within 30 days accounted for $646 million of the $11.5 billion total hospitalization cost in 2013 (Treatment Advocacy Center, 2024). Greater access to mental health services in residential treatment and improved crisis intervention are indicated as factors that significantly reduce readmission risk (Owusu et al., 2022).</w:t>
      </w:r>
    </w:p>
    <w:p w14:paraId="0E697714" w14:textId="77777777" w:rsidR="00FE7C00" w:rsidRDefault="00FE7C00" w:rsidP="00FE7C00">
      <w:pPr>
        <w:ind w:firstLine="720"/>
      </w:pPr>
      <w:r>
        <w:t xml:space="preserve">Existing </w:t>
      </w:r>
      <w:r w:rsidR="0050562A" w:rsidRPr="0050562A">
        <w:t>market leaders like Findhelp and Unite Us have validated product-market fit for community resource navigation. Findhelp has raised over $54 million and serves thousands of healthcare organizations across all 50 states (PitchBook, 2025). Unite Us operates in 44 states and is the designated platform for North Carolina's Medicaid Healthy Opportunities Pilots (Center for Health Care Strategies, 2025). However, both platforms function primarily as ZIP code and eligibility-based directories that ignore the psychosocial compatibility essential for mental health adherence. This creates a clear white space for a solution that combines clinical precision with human-centered matching.</w:t>
      </w:r>
    </w:p>
    <w:p w14:paraId="46A74519" w14:textId="0F9B95A2" w:rsidR="0050562A" w:rsidRPr="0050562A" w:rsidRDefault="0050562A" w:rsidP="00FE7C00">
      <w:pPr>
        <w:ind w:firstLine="720"/>
      </w:pPr>
      <w:r w:rsidRPr="0050562A">
        <w:t>Tether would launch as a B2B SaaS platform targeting community mental health centers and small private psychiatry practices in cities of 50,000 to 500,000 population. These organizations lack dedicated case management infrastructure but</w:t>
      </w:r>
      <w:r w:rsidR="00FE7C00">
        <w:t>, like any healthcare practice,</w:t>
      </w:r>
      <w:r w:rsidRPr="0050562A">
        <w:t xml:space="preserve"> face pressure to improve patient outcomes and reduce costly readmissions. The initial product would consist of three core components: a clinician-facing interface where providers input diagnoses and treatment goals (adding </w:t>
      </w:r>
      <w:r w:rsidR="00FE7C00">
        <w:t xml:space="preserve">a one-time increase of </w:t>
      </w:r>
      <w:r w:rsidRPr="0050562A">
        <w:t xml:space="preserve">approximately </w:t>
      </w:r>
      <w:r w:rsidR="00FE7C00">
        <w:t>three</w:t>
      </w:r>
      <w:r w:rsidRPr="0050562A">
        <w:t xml:space="preserve"> minutes to workflow), a patient-facing psychometric assessment capturing social preferences, sensory needs, and motivation styles, and a proprietary matching algorithm that generates personalized Community Care Plans linking patients to compatible local resources.</w:t>
      </w:r>
    </w:p>
    <w:p w14:paraId="1A12B670" w14:textId="706F2C95" w:rsidR="0050562A" w:rsidRPr="0050562A" w:rsidRDefault="0050562A" w:rsidP="00FE7C00">
      <w:pPr>
        <w:ind w:firstLine="720"/>
      </w:pPr>
      <w:r w:rsidRPr="0050562A">
        <w:t xml:space="preserve">The go-to-market strategy </w:t>
      </w:r>
      <w:r w:rsidR="00FE7C00">
        <w:t xml:space="preserve">for tether may </w:t>
      </w:r>
      <w:r w:rsidRPr="0050562A">
        <w:t xml:space="preserve">involve four phases. First, a six-month pilot program in a single mid-sized city (target: 100,000 to 300,000 population metro) partnering with 3-5 community mental health centers to validate the product and refine the matching algorithm. During this phase, the team manually curates a database of 100-200 local resources using web scraping, verification calls, and proprietary "vibe check" surveys sent to organizations. Second, expansion within the pilot city to 10-15 additional clinics while building case studies </w:t>
      </w:r>
      <w:r w:rsidR="00B56602" w:rsidRPr="0050562A">
        <w:t>demonstrating</w:t>
      </w:r>
      <w:r w:rsidRPr="0050562A">
        <w:t xml:space="preserve"> improved patient adherence. Third, replication of the database and clinic acquisition model to 3-4 additional mid-sized cities, achieving approximately 50 clinic customers and 5,000 active patient users by year two. Fourth, development of partnerships with state Medicaid programs and larger health systems to position Tether as the standard social prescribing infrastructure, enabling geographic expansion while maintaining local resource databases.</w:t>
      </w:r>
    </w:p>
    <w:p w14:paraId="5AED9ECF" w14:textId="115A95A3" w:rsidR="0050562A" w:rsidRPr="0050562A" w:rsidRDefault="0050562A" w:rsidP="00B56602">
      <w:pPr>
        <w:ind w:firstLine="720"/>
      </w:pPr>
      <w:r w:rsidRPr="0050562A">
        <w:lastRenderedPageBreak/>
        <w:t>The revenue model would be straightforward: $100 per provider per month (approximately $1,200 annually per clinician), with custom enterprise contracts for organizations over 20 providers. A typical community mental health center with 10 providers would pay $12,000 annually</w:t>
      </w:r>
      <w:r w:rsidR="00B56602">
        <w:t>. By</w:t>
      </w:r>
      <w:r w:rsidRPr="0050562A">
        <w:t xml:space="preserve"> year three, with 200 providers across 50 clinics, the platform would generate $240,000 in annual recurring revenue, establishing proof of concept for venture scalability.</w:t>
      </w:r>
    </w:p>
    <w:p w14:paraId="125B7AFF" w14:textId="3D0EA9CB" w:rsidR="0050562A" w:rsidRPr="0050562A" w:rsidRDefault="0050562A" w:rsidP="00B56602">
      <w:pPr>
        <w:ind w:firstLine="720"/>
      </w:pPr>
      <w:r w:rsidRPr="0050562A">
        <w:t>Getting Tether off the ground would require approximately $500,000 to $750,000 in pre-seed capital, structured as follows. The rapid evolution of AI and low-code/no-code development tools has fundamentally transformed the economics of software development. According to industry research, low-code platforms reduce development time by up to 90% and cut costs by nearly 50% compared to traditional development (Nucamp, 2025</w:t>
      </w:r>
      <w:r w:rsidR="00B56602">
        <w:t xml:space="preserve">). </w:t>
      </w:r>
      <w:r w:rsidRPr="0050562A">
        <w:t>AI-powered development tools like GitHub Copilot, Cursor, and Replit enable even solo developers to build production-grade applications in record time, with development productivity improvements of 4.6x (Brilworks, 2024).</w:t>
      </w:r>
      <w:r w:rsidR="00B56602">
        <w:t xml:space="preserve"> </w:t>
      </w:r>
      <w:r w:rsidRPr="0050562A">
        <w:t>Given these</w:t>
      </w:r>
      <w:r w:rsidR="00B56602">
        <w:t xml:space="preserve"> </w:t>
      </w:r>
      <w:r w:rsidRPr="0050562A">
        <w:t>technological advances, Tether's development approach would leverage modern tools to minimize capital requirements. Product development would consume $150,000 to $200,000: $75,000-$100,000 for contracted development using low-code/AI-assisted tools to build the web platform, patient assessment tool, and basic matching algorithm; $50,000 for UX/UI design and HIPAA compliance infrastructure; and $25,000-$50,000 for security audits and cloud hosting. This represents a 50-70% reduction compared to traditional full-stack development requiring a full-time engineer for 12-18 months.</w:t>
      </w:r>
    </w:p>
    <w:p w14:paraId="5A8A39DD" w14:textId="77777777" w:rsidR="0050562A" w:rsidRPr="0050562A" w:rsidRDefault="0050562A" w:rsidP="0050562A">
      <w:r w:rsidRPr="0050562A">
        <w:t>Sales and market development would require $150,000: $100,000 for a part-time VP of Sales with healthcare IT experience to manage pilot partnerships and clinic onboarding, and $50,000 for travel, conferences, and initial marketing materials targeting community mental health centers. Operations and database curation would need $100,000: $70,000 for a part-time community resource manager to build and maintain local databases, conduct verification, and manage RFI surveys, and $30,000 for data scraping tools, CRM software, and administrative overhead. Finally, $100,000 would be reserved for contingencies and runway extension.</w:t>
      </w:r>
    </w:p>
    <w:p w14:paraId="07E0090A" w14:textId="77777777" w:rsidR="00B56602" w:rsidRDefault="0050562A" w:rsidP="0050562A">
      <w:r w:rsidRPr="0050562A">
        <w:t xml:space="preserve">This capital would provide 18-24 months of runway to achieve the pilot milestones necessary for additional funding. The founder would serve as Chief Medical Officer and product visionary while </w:t>
      </w:r>
      <w:r w:rsidR="00B56602">
        <w:t xml:space="preserve">ideally a </w:t>
      </w:r>
      <w:r w:rsidRPr="0050562A">
        <w:t xml:space="preserve">co-founder manages </w:t>
      </w:r>
      <w:r w:rsidR="00B56602">
        <w:t xml:space="preserve">technical challenges and </w:t>
      </w:r>
      <w:r w:rsidRPr="0050562A">
        <w:t>day-to-day operations. Funding sources could include healthcare-focused angel investors, university innovation grants (particularly given potential CAPS partnership validation), or pre-seed venture firms specializing in digital health.</w:t>
      </w:r>
    </w:p>
    <w:p w14:paraId="58856E43" w14:textId="77777777" w:rsidR="00B56602" w:rsidRDefault="00B56602" w:rsidP="0050562A"/>
    <w:p w14:paraId="2ECA5914" w14:textId="77777777" w:rsidR="00B56602" w:rsidRDefault="0050562A" w:rsidP="00B56602">
      <w:pPr>
        <w:ind w:firstLine="720"/>
      </w:pPr>
      <w:r w:rsidRPr="0050562A">
        <w:lastRenderedPageBreak/>
        <w:t xml:space="preserve">Tether's path to self-sustaining revenue would be measured through a tiered framework. Customer acquisition metrics include number of contracted clinics (target: 50 by year three), number of active providers using the platform monthly (target: 200), and average contract value (target: maintaining $100 per provider per month with minimal churn). Product engagement metrics include patient assessments completed per month (target: 500 by year two), successful resource matches generated (target: 60% of assessed patients receive and review a Community Care Plan), and patient utilization rate (target: </w:t>
      </w:r>
      <w:r w:rsidR="00B56602">
        <w:t xml:space="preserve">&gt;50% </w:t>
      </w:r>
      <w:r w:rsidRPr="0050562A">
        <w:t>of matched patients attend at least one recommended resource within 90 days, significantly above the 31-37% attendance rates reported in existing social prescribing studies) (Darcy et al., 2023).</w:t>
      </w:r>
    </w:p>
    <w:p w14:paraId="703510A8" w14:textId="5D7CDA41" w:rsidR="0050562A" w:rsidRPr="0050562A" w:rsidRDefault="0050562A" w:rsidP="00B56602">
      <w:pPr>
        <w:ind w:firstLine="720"/>
      </w:pPr>
      <w:r w:rsidRPr="0050562A">
        <w:t xml:space="preserve">Clinical outcome metrics include reduction </w:t>
      </w:r>
      <w:r w:rsidR="00B56602">
        <w:t xml:space="preserve">in validated psychiatric instrument scores (i.e., PHQ-9), UCLA Loneliness Scale, changes </w:t>
      </w:r>
      <w:r w:rsidRPr="0050562A">
        <w:t>in 90-day readmission rates among Tether users compared to controls, patient-reported improvement in social connectedness scores (target: 25% improvement at six months), and clinician satisfaction with care coordination (target: Net Promoter Score above 40). Financial sustainability metrics include monthly recurring revenue (target: $20,000 by end of year two, $80,000 by end of year four), gross margin (target: above 75%, typical for SaaS), customer acquisition cost payback period (target: under 18 months), and annual revenue growth rate (target: 100% plus in years two and three).</w:t>
      </w:r>
      <w:r w:rsidR="00B56602">
        <w:t xml:space="preserve"> </w:t>
      </w:r>
      <w:r w:rsidRPr="0050562A">
        <w:t xml:space="preserve">The ultimate success metric is reaching $1 million in annual recurring revenue with a clear path to $5-10 million, the inflection point where healthcare SaaS companies typically can scale national sales operations. At $100 per provider per month, this requires approximately 833 active providers, or roughly 80-100 clinic customers, a </w:t>
      </w:r>
      <w:r w:rsidR="00B56602">
        <w:t>big but still real</w:t>
      </w:r>
      <w:r w:rsidRPr="0050562A">
        <w:t xml:space="preserve">istic target for a </w:t>
      </w:r>
      <w:r w:rsidR="00B56602">
        <w:t xml:space="preserve">regional </w:t>
      </w:r>
      <w:r w:rsidRPr="0050562A">
        <w:t>expansion strategy over four to five years.</w:t>
      </w:r>
    </w:p>
    <w:p w14:paraId="32FDAA65" w14:textId="1AFC7BE7" w:rsidR="0050562A" w:rsidRPr="0050562A" w:rsidRDefault="0050562A" w:rsidP="00B63129">
      <w:pPr>
        <w:ind w:firstLine="720"/>
      </w:pPr>
      <w:r w:rsidRPr="0050562A">
        <w:t>Applying Porter's Five Forces framework reveals both opportunities and risks. The threat of new entrants is moderate to high. While building a basic community resource directory requires minimal capital, Tether's differentiation through psychometric matching and proprietary "vibe check" data creates barriers to imitation. However, well-funded competitors or large EHR vendors could replicate core features if Tether demonstrates traction. Speed to market and establishing network effects (more clinics mean richer data and better matches) are critical defensive strategies.</w:t>
      </w:r>
      <w:r w:rsidR="00B63129">
        <w:t xml:space="preserve"> </w:t>
      </w:r>
      <w:r w:rsidRPr="0050562A">
        <w:t>The bargaining power of buyers (clinics and health systems) is high. Community mental health centers operate on tight budgets and are accustomed to free or low-cost tools. This necessitates a clear ROI demonstration. Additionally, long sales cycles (6-12 months for healthcare IT) mean cash flow constraints could threaten sustainability before proving value.</w:t>
      </w:r>
      <w:r w:rsidR="00B63129">
        <w:t xml:space="preserve"> </w:t>
      </w:r>
      <w:r w:rsidRPr="0050562A">
        <w:t xml:space="preserve">The bargaining power of suppliers (community resources and technology providers) is low to moderate. Community organizations typically welcome referral sources at no cost, reducing friction in database </w:t>
      </w:r>
      <w:r w:rsidRPr="0050562A">
        <w:lastRenderedPageBreak/>
        <w:t>building. However, proprietary data from these organizations (the "vibe check" information) may require ongoing relationship management and potential revenue sharing as the platform scales. Low-code development platforms have become commoditized with pricing models accessible to startups, reducing supplier power (Kovaion, 2025).</w:t>
      </w:r>
      <w:r w:rsidR="00B63129">
        <w:t xml:space="preserve"> </w:t>
      </w:r>
      <w:r w:rsidRPr="0050562A">
        <w:t>The threat of substitutes is moderate. Existing alternatives include manual case management (expensive and unscalable), generic directories like Findhelp or Unite Us (low adherence but free or low-cost for CBOs), and emerging care navigation platforms. Tether must consistently demonstrate superior matching accuracy and patient outcomes to justify switching costs. The key differentiator is addressing the well-documented adherence problem in social prescribing, where generic referrals fail 60-65% of the time (Cooper et al., 2024).</w:t>
      </w:r>
      <w:r w:rsidR="00B63129">
        <w:t xml:space="preserve"> </w:t>
      </w:r>
      <w:r w:rsidRPr="0050562A">
        <w:t>Competitive rivalry is currently low but increasing. Findhelp and Unite Us dominate the SDOH navigation space but do not focus specifically on psychosocial matching for mental health. However, both have significant capital and could pivot into this niche if validated. Findhelp's $54 million in funding and Unite Us's presence in 44 states demonstrate substantial resources (PitchBook, 2025; Center for Health Care Strategies, 2025). Additionally, large EHR vendors like Epic and Cerner increasingly integrate social screening tools, potentially bundling basic resource navigation features that commoditize Tether's offering. Defensibility requires building a data moat: proprietary matching algorithms trained on thousands of successful patient-resource pairings that cannot be easily replicated.</w:t>
      </w:r>
    </w:p>
    <w:p w14:paraId="25DF7C50" w14:textId="5459C052" w:rsidR="0050562A" w:rsidRPr="0050562A" w:rsidRDefault="0050562A" w:rsidP="00B63129">
      <w:pPr>
        <w:ind w:firstLine="720"/>
      </w:pPr>
      <w:r w:rsidRPr="0050562A">
        <w:t>Achieving self-sustaining revenue would require four to five years following a realistic adoption curve. Year one focuses on product development and pilot validation: six months to build the MVP using low-code/AI-assisted tools, six months running pilots with 3-5 clinics in one city, and initial database curation of 100-200 resources. Revenue would be minimal (potentially $30,000-$50,000 from pilot contracts) as the focus is on product-market fit and case study development.</w:t>
      </w:r>
      <w:r w:rsidR="00B63129">
        <w:t xml:space="preserve"> </w:t>
      </w:r>
      <w:r w:rsidRPr="0050562A">
        <w:t>Year two emphasizes local market penetration: expanding to 15-20 clinics in the pilot city, refining the matching algorithm based on real-world adherence data, and beginning database replication in 2-3 additional cities. Revenue would reach approximately $200,000-$250,000 as contracts transition from pilot pricing to standard commercial terms. Year three drives geographic expansion: entering 4-6 total markets with 40-60 clinic customers and approximately 150-200 active providers. This phase requires scaling sales and customer success operations while maintaining high service quality. Revenue would grow to $700,000-$900,000, approaching break-even on operational expenses.</w:t>
      </w:r>
      <w:r w:rsidR="00B63129">
        <w:t xml:space="preserve"> </w:t>
      </w:r>
      <w:r w:rsidRPr="0050562A">
        <w:t xml:space="preserve">Year four targets market leadership in mid-sized cities: operating in 8-10 markets with 80-100 clinics and 300-400 providers. At this point, network effects strengthen as richer data improves matching accuracy, and word-of-mouth referrals reduce customer acquisition costs. Revenue would reach $1.2-$1.6 million with positive </w:t>
      </w:r>
      <w:r w:rsidRPr="0050562A">
        <w:lastRenderedPageBreak/>
        <w:t>unit economics. Year five establishes scalability: proven playbook for entering new cities, potential enterprise contracts with state Medicaid programs or large health systems, and Series A funding ($3-5 million) to accelerate national expansion. Revenue would exceed $2.5 million with a clear path to $10 million annual recurring revenue within 18-24 months.</w:t>
      </w:r>
    </w:p>
    <w:p w14:paraId="09B0D80A" w14:textId="77777777" w:rsidR="0050562A" w:rsidRPr="0050562A" w:rsidRDefault="0050562A" w:rsidP="0050562A">
      <w:r w:rsidRPr="0050562A">
        <w:t>This timeline assumes consistent execution but faces realistic risks: longer-than-expected sales cycles, difficulty proving clinical outcomes in fragmented patient populations, and potential competitive responses from incumbents. Success requires disciplined focus on a narrow beachhead market (community mental health in mid-sized cities), relentless iteration based on customer feedback, and building strong relationships with clinical champions who advocate for adoption. The advantage of positioning as a clinically active founder who remains engaged in psychiatry practice is credibility and access. Practicing psychiatrists can validate the problem, co-design solutions with peers, and evangelize adoption in ways that pure entrepreneurs cannot. This clinical embeddedness, combined with a well-capitalized and operationally excellent team, provides Tether's best path to becoming the standard infrastructure for intelligent social prescribing in mental health.</w:t>
      </w:r>
    </w:p>
    <w:p w14:paraId="605CBC57" w14:textId="77777777" w:rsidR="0050562A" w:rsidRPr="0050562A" w:rsidRDefault="00CA085D" w:rsidP="0050562A">
      <w:r>
        <w:rPr>
          <w:noProof/>
        </w:rPr>
        <w:pict w14:anchorId="7DB68E63">
          <v:rect id="_x0000_i1025" alt="" style="width:468pt;height:.05pt;mso-width-percent:0;mso-height-percent:0;mso-width-percent:0;mso-height-percent:0" o:hralign="center" o:hrstd="t" o:hr="t" fillcolor="#a0a0a0" stroked="f"/>
        </w:pict>
      </w:r>
    </w:p>
    <w:p w14:paraId="60B24519" w14:textId="77777777" w:rsidR="0050562A" w:rsidRPr="0050562A" w:rsidRDefault="0050562A" w:rsidP="0050562A">
      <w:r w:rsidRPr="0050562A">
        <w:rPr>
          <w:b/>
          <w:bCs/>
        </w:rPr>
        <w:t>References</w:t>
      </w:r>
    </w:p>
    <w:p w14:paraId="3211B4B6" w14:textId="77777777" w:rsidR="0050562A" w:rsidRPr="0050562A" w:rsidRDefault="0050562A" w:rsidP="0050562A">
      <w:r w:rsidRPr="0050562A">
        <w:t xml:space="preserve">American Psychiatric Association. (2024). American adults express increasing anxiousness in annual poll. </w:t>
      </w:r>
      <w:hyperlink r:id="rId4" w:history="1">
        <w:r w:rsidRPr="0050562A">
          <w:rPr>
            <w:rStyle w:val="Hyperlink"/>
          </w:rPr>
          <w:t>https://www.psychiatry.org/news-room/news-releases/annual-poll-adults-express-increasing-anxiousness</w:t>
        </w:r>
      </w:hyperlink>
    </w:p>
    <w:p w14:paraId="6C4E81C8" w14:textId="77777777" w:rsidR="0050562A" w:rsidRPr="0050562A" w:rsidRDefault="0050562A" w:rsidP="0050562A">
      <w:r w:rsidRPr="0050562A">
        <w:t xml:space="preserve">Brilworks. (2024). AI &amp; low-code/no-code tools: Reshaping the workforce. </w:t>
      </w:r>
      <w:hyperlink r:id="rId5" w:history="1">
        <w:r w:rsidRPr="0050562A">
          <w:rPr>
            <w:rStyle w:val="Hyperlink"/>
          </w:rPr>
          <w:t>https://www.brilworks.com/blog/ai-low-code-no-code-tools/</w:t>
        </w:r>
      </w:hyperlink>
    </w:p>
    <w:p w14:paraId="1AD5C36E" w14:textId="77777777" w:rsidR="0050562A" w:rsidRPr="0050562A" w:rsidRDefault="0050562A" w:rsidP="0050562A">
      <w:r w:rsidRPr="0050562A">
        <w:t>Buck, J. A., &amp; Lowenstein, L. (2021). Psychiatric facility readmissions of Medicare inpatients. Psychiatric Services, 72(7), 844-845.</w:t>
      </w:r>
    </w:p>
    <w:p w14:paraId="15B70A7C" w14:textId="77777777" w:rsidR="0050562A" w:rsidRPr="0050562A" w:rsidRDefault="0050562A" w:rsidP="0050562A">
      <w:r w:rsidRPr="0050562A">
        <w:t xml:space="preserve">Center for Health Care Strategies. (2025). Adopting a community resource and referral platform: Considerations for Texas Medicaid stakeholders. </w:t>
      </w:r>
      <w:hyperlink r:id="rId6" w:history="1">
        <w:r w:rsidRPr="0050562A">
          <w:rPr>
            <w:rStyle w:val="Hyperlink"/>
          </w:rPr>
          <w:t>https://www.chcs.org/resource/adopting-a-community-resource-and-referral-platform-considerations-for-texas-medicaid-stakeholders/</w:t>
        </w:r>
      </w:hyperlink>
    </w:p>
    <w:p w14:paraId="2A1A0161" w14:textId="77777777" w:rsidR="0050562A" w:rsidRPr="0050562A" w:rsidRDefault="0050562A" w:rsidP="0050562A">
      <w:r w:rsidRPr="0050562A">
        <w:t>Cooper, M., Flynn, D., Avery, L., Ashley, K., Jordan, C., Errington, L., &amp; Scott, J. (2023). Service user perspectives on social prescribing services for mental health in the UK: A systematic review. Perspectives in Public Health, 143(3), 135-144.</w:t>
      </w:r>
    </w:p>
    <w:p w14:paraId="42B3A0E8" w14:textId="77777777" w:rsidR="0050562A" w:rsidRPr="0050562A" w:rsidRDefault="0050562A" w:rsidP="0050562A">
      <w:r w:rsidRPr="0050562A">
        <w:t>Cooper, M., Flynn, D., Avery, L., Ashley, K., Jordan, C., &amp; Scott, J. (2024). A systematic review of the demographic characteristics and attrition rates in social prescribing interventions for mental health. ResearchGate.</w:t>
      </w:r>
    </w:p>
    <w:p w14:paraId="0030C6BE" w14:textId="77777777" w:rsidR="0050562A" w:rsidRPr="0050562A" w:rsidRDefault="0050562A" w:rsidP="0050562A">
      <w:r w:rsidRPr="0050562A">
        <w:lastRenderedPageBreak/>
        <w:t>Darcy, A., et al. (2023). Social prescribing intervention attendance and adherence patterns. [Cited in Cooper et al., 2024]</w:t>
      </w:r>
    </w:p>
    <w:p w14:paraId="6A450E0F" w14:textId="77777777" w:rsidR="0050562A" w:rsidRPr="0050562A" w:rsidRDefault="0050562A" w:rsidP="0050562A">
      <w:r w:rsidRPr="0050562A">
        <w:t xml:space="preserve">Data Bridge Market Research. (2023). U.S. Social Determinants of Health (SDOH) market - Industry trends and forecast to 2030. </w:t>
      </w:r>
      <w:hyperlink r:id="rId7" w:history="1">
        <w:r w:rsidRPr="0050562A">
          <w:rPr>
            <w:rStyle w:val="Hyperlink"/>
          </w:rPr>
          <w:t>https://www.databridgemarketresearch.com/reports/us-social-determinants-of-health-sdoh-market</w:t>
        </w:r>
      </w:hyperlink>
    </w:p>
    <w:p w14:paraId="763947A3" w14:textId="77777777" w:rsidR="0050562A" w:rsidRPr="0050562A" w:rsidRDefault="0050562A" w:rsidP="0050562A">
      <w:r w:rsidRPr="0050562A">
        <w:t xml:space="preserve">Gallup. (2023). U.S. depression rates reach new highs. </w:t>
      </w:r>
      <w:hyperlink r:id="rId8" w:history="1">
        <w:r w:rsidRPr="0050562A">
          <w:rPr>
            <w:rStyle w:val="Hyperlink"/>
          </w:rPr>
          <w:t>https://news.gallup.com/poll/505745/depression-rates-reach-new-highs.aspx</w:t>
        </w:r>
      </w:hyperlink>
    </w:p>
    <w:p w14:paraId="0E7E3FEA" w14:textId="77777777" w:rsidR="0050562A" w:rsidRPr="0050562A" w:rsidRDefault="0050562A" w:rsidP="0050562A">
      <w:r w:rsidRPr="0050562A">
        <w:t xml:space="preserve">Kovaion. (2025). Low-code for SaaS: How startups are disrupting markets in 2025. </w:t>
      </w:r>
      <w:hyperlink r:id="rId9" w:history="1">
        <w:r w:rsidRPr="0050562A">
          <w:rPr>
            <w:rStyle w:val="Hyperlink"/>
          </w:rPr>
          <w:t>https://www.kovaion.com/blog/low-code-for-saas-how-startups-are-disrupting-markets/</w:t>
        </w:r>
      </w:hyperlink>
    </w:p>
    <w:p w14:paraId="1C66A5B0" w14:textId="77777777" w:rsidR="0050562A" w:rsidRPr="0050562A" w:rsidRDefault="0050562A" w:rsidP="0050562A">
      <w:r w:rsidRPr="0050562A">
        <w:t>Mehta, N., et al. (2019). Predictors of cost and incidence of 30-day readmissions following hospitalizations for schizophrenia and psychotic disorders. Journal of Nervous and Mental Disease, 207(7), 583-590.</w:t>
      </w:r>
    </w:p>
    <w:p w14:paraId="28EF14D3" w14:textId="77777777" w:rsidR="0050562A" w:rsidRPr="0050562A" w:rsidRDefault="0050562A" w:rsidP="0050562A">
      <w:r w:rsidRPr="0050562A">
        <w:t xml:space="preserve">MindK. (2025). Low-code SaaS development 2025 overview. </w:t>
      </w:r>
      <w:hyperlink r:id="rId10" w:history="1">
        <w:r w:rsidRPr="0050562A">
          <w:rPr>
            <w:rStyle w:val="Hyperlink"/>
          </w:rPr>
          <w:t>https://www.mindk.com/blog/low-code-saas-development/</w:t>
        </w:r>
      </w:hyperlink>
    </w:p>
    <w:p w14:paraId="76FEABDB" w14:textId="77777777" w:rsidR="0050562A" w:rsidRPr="0050562A" w:rsidRDefault="0050562A" w:rsidP="0050562A">
      <w:r w:rsidRPr="0050562A">
        <w:t xml:space="preserve">Nucamp. (2025). Low-code/no-code platforms: Accelerating development in 2025. </w:t>
      </w:r>
      <w:hyperlink r:id="rId11" w:history="1">
        <w:r w:rsidRPr="0050562A">
          <w:rPr>
            <w:rStyle w:val="Hyperlink"/>
          </w:rPr>
          <w:t>https://www.nucamp.co/blog/coding-bootcamp-full-stack-web-and-mobile-development-2025-lowcodenocode-platforms-accelerating-development-in-2025</w:t>
        </w:r>
      </w:hyperlink>
    </w:p>
    <w:p w14:paraId="2313DC28" w14:textId="77777777" w:rsidR="0050562A" w:rsidRPr="0050562A" w:rsidRDefault="0050562A" w:rsidP="0050562A">
      <w:r w:rsidRPr="0050562A">
        <w:t>Owusu, E., Oluwasina, F., Nkire, N., Lawal, M. A., &amp; Agyapong, V. I. O. (2022). Readmission of patients to acute psychiatric hospitals: Influential factors and interventions to reduce psychiatric readmission rates. Healthcare, 10(9), 1808.</w:t>
      </w:r>
    </w:p>
    <w:p w14:paraId="4BF1BE13" w14:textId="77777777" w:rsidR="0050562A" w:rsidRPr="0050562A" w:rsidRDefault="0050562A" w:rsidP="0050562A">
      <w:r w:rsidRPr="0050562A">
        <w:t>Pescheny, J. V., Randhawa, G., &amp; Pappas, Y. (2020). The impact of social prescribing services on service users: A systematic review of the evidence. The European Journal of Public Health, 30(4), 664-673.</w:t>
      </w:r>
    </w:p>
    <w:p w14:paraId="1415CD0D" w14:textId="77777777" w:rsidR="0050562A" w:rsidRPr="0050562A" w:rsidRDefault="0050562A" w:rsidP="0050562A">
      <w:r w:rsidRPr="0050562A">
        <w:t xml:space="preserve">Pew Charitable Trusts. (2023). America's mental health crisis. </w:t>
      </w:r>
      <w:hyperlink r:id="rId12" w:history="1">
        <w:r w:rsidRPr="0050562A">
          <w:rPr>
            <w:rStyle w:val="Hyperlink"/>
          </w:rPr>
          <w:t>https://www.pew.org/en/trend/archive/fall-2023/americas-mental-health-crisis</w:t>
        </w:r>
      </w:hyperlink>
    </w:p>
    <w:p w14:paraId="23681FA6" w14:textId="77777777" w:rsidR="0050562A" w:rsidRPr="0050562A" w:rsidRDefault="0050562A" w:rsidP="0050562A">
      <w:r w:rsidRPr="0050562A">
        <w:t xml:space="preserve">PitchBook. (2025). Findhelp company profile. </w:t>
      </w:r>
      <w:hyperlink r:id="rId13" w:history="1">
        <w:r w:rsidRPr="0050562A">
          <w:rPr>
            <w:rStyle w:val="Hyperlink"/>
          </w:rPr>
          <w:t>https://pitchbook.com/profiles/company/83038-69</w:t>
        </w:r>
      </w:hyperlink>
    </w:p>
    <w:p w14:paraId="6C92F86C" w14:textId="77777777" w:rsidR="0050562A" w:rsidRPr="0050562A" w:rsidRDefault="0050562A" w:rsidP="0050562A">
      <w:r w:rsidRPr="0050562A">
        <w:t xml:space="preserve">Treatment Advocacy Center. (2024). Released, relapsed, rehospitalized: Length of stay and readmission rates in state hospitals. </w:t>
      </w:r>
      <w:hyperlink r:id="rId14" w:history="1">
        <w:r w:rsidRPr="0050562A">
          <w:rPr>
            <w:rStyle w:val="Hyperlink"/>
          </w:rPr>
          <w:t>https://www.treatmentadvocacycenter.org/reports_publications/released-relapsed-rehospitalized</w:t>
        </w:r>
      </w:hyperlink>
    </w:p>
    <w:p w14:paraId="15D465D5" w14:textId="77777777" w:rsidR="0050562A" w:rsidRDefault="0050562A"/>
    <w:sectPr w:rsidR="00505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2A"/>
    <w:rsid w:val="001F1CD4"/>
    <w:rsid w:val="00431668"/>
    <w:rsid w:val="0050562A"/>
    <w:rsid w:val="005C16D2"/>
    <w:rsid w:val="00720EF0"/>
    <w:rsid w:val="00B56602"/>
    <w:rsid w:val="00B63129"/>
    <w:rsid w:val="00CA085D"/>
    <w:rsid w:val="00D01295"/>
    <w:rsid w:val="00E75BAF"/>
    <w:rsid w:val="00FE7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6DEA"/>
  <w15:chartTrackingRefBased/>
  <w15:docId w15:val="{82D1D0F9-76BD-F345-B321-218907B2E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62A"/>
    <w:rPr>
      <w:rFonts w:eastAsiaTheme="majorEastAsia" w:cstheme="majorBidi"/>
      <w:color w:val="272727" w:themeColor="text1" w:themeTint="D8"/>
    </w:rPr>
  </w:style>
  <w:style w:type="paragraph" w:styleId="Title">
    <w:name w:val="Title"/>
    <w:basedOn w:val="Normal"/>
    <w:next w:val="Normal"/>
    <w:link w:val="TitleChar"/>
    <w:uiPriority w:val="10"/>
    <w:qFormat/>
    <w:rsid w:val="0050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62A"/>
    <w:pPr>
      <w:spacing w:before="160"/>
      <w:jc w:val="center"/>
    </w:pPr>
    <w:rPr>
      <w:i/>
      <w:iCs/>
      <w:color w:val="404040" w:themeColor="text1" w:themeTint="BF"/>
    </w:rPr>
  </w:style>
  <w:style w:type="character" w:customStyle="1" w:styleId="QuoteChar">
    <w:name w:val="Quote Char"/>
    <w:basedOn w:val="DefaultParagraphFont"/>
    <w:link w:val="Quote"/>
    <w:uiPriority w:val="29"/>
    <w:rsid w:val="0050562A"/>
    <w:rPr>
      <w:i/>
      <w:iCs/>
      <w:color w:val="404040" w:themeColor="text1" w:themeTint="BF"/>
    </w:rPr>
  </w:style>
  <w:style w:type="paragraph" w:styleId="ListParagraph">
    <w:name w:val="List Paragraph"/>
    <w:basedOn w:val="Normal"/>
    <w:uiPriority w:val="34"/>
    <w:qFormat/>
    <w:rsid w:val="0050562A"/>
    <w:pPr>
      <w:ind w:left="720"/>
      <w:contextualSpacing/>
    </w:pPr>
  </w:style>
  <w:style w:type="character" w:styleId="IntenseEmphasis">
    <w:name w:val="Intense Emphasis"/>
    <w:basedOn w:val="DefaultParagraphFont"/>
    <w:uiPriority w:val="21"/>
    <w:qFormat/>
    <w:rsid w:val="0050562A"/>
    <w:rPr>
      <w:i/>
      <w:iCs/>
      <w:color w:val="0F4761" w:themeColor="accent1" w:themeShade="BF"/>
    </w:rPr>
  </w:style>
  <w:style w:type="paragraph" w:styleId="IntenseQuote">
    <w:name w:val="Intense Quote"/>
    <w:basedOn w:val="Normal"/>
    <w:next w:val="Normal"/>
    <w:link w:val="IntenseQuoteChar"/>
    <w:uiPriority w:val="30"/>
    <w:qFormat/>
    <w:rsid w:val="00505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62A"/>
    <w:rPr>
      <w:i/>
      <w:iCs/>
      <w:color w:val="0F4761" w:themeColor="accent1" w:themeShade="BF"/>
    </w:rPr>
  </w:style>
  <w:style w:type="character" w:styleId="IntenseReference">
    <w:name w:val="Intense Reference"/>
    <w:basedOn w:val="DefaultParagraphFont"/>
    <w:uiPriority w:val="32"/>
    <w:qFormat/>
    <w:rsid w:val="0050562A"/>
    <w:rPr>
      <w:b/>
      <w:bCs/>
      <w:smallCaps/>
      <w:color w:val="0F4761" w:themeColor="accent1" w:themeShade="BF"/>
      <w:spacing w:val="5"/>
    </w:rPr>
  </w:style>
  <w:style w:type="character" w:styleId="Hyperlink">
    <w:name w:val="Hyperlink"/>
    <w:basedOn w:val="DefaultParagraphFont"/>
    <w:uiPriority w:val="99"/>
    <w:unhideWhenUsed/>
    <w:rsid w:val="0050562A"/>
    <w:rPr>
      <w:color w:val="467886" w:themeColor="hyperlink"/>
      <w:u w:val="single"/>
    </w:rPr>
  </w:style>
  <w:style w:type="character" w:styleId="UnresolvedMention">
    <w:name w:val="Unresolved Mention"/>
    <w:basedOn w:val="DefaultParagraphFont"/>
    <w:uiPriority w:val="99"/>
    <w:semiHidden/>
    <w:unhideWhenUsed/>
    <w:rsid w:val="005056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gallup.com/poll/505745/depression-rates-reach-new-highs.aspx" TargetMode="External"/><Relationship Id="rId13" Type="http://schemas.openxmlformats.org/officeDocument/2006/relationships/hyperlink" Target="https://pitchbook.com/profiles/company/83038-69" TargetMode="External"/><Relationship Id="rId3" Type="http://schemas.openxmlformats.org/officeDocument/2006/relationships/webSettings" Target="webSettings.xml"/><Relationship Id="rId7" Type="http://schemas.openxmlformats.org/officeDocument/2006/relationships/hyperlink" Target="https://www.databridgemarketresearch.com/reports/us-social-determinants-of-health-sdoh-market" TargetMode="External"/><Relationship Id="rId12" Type="http://schemas.openxmlformats.org/officeDocument/2006/relationships/hyperlink" Target="https://www.pew.org/en/trend/archive/fall-2023/americas-mental-health-crisis"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chcs.org/resource/adopting-a-community-resource-and-referral-platform-considerations-for-texas-medicaid-stakeholders/" TargetMode="External"/><Relationship Id="rId11" Type="http://schemas.openxmlformats.org/officeDocument/2006/relationships/hyperlink" Target="https://www.nucamp.co/blog/coding-bootcamp-full-stack-web-and-mobile-development-2025-lowcodenocode-platforms-accelerating-development-in-2025" TargetMode="External"/><Relationship Id="rId5" Type="http://schemas.openxmlformats.org/officeDocument/2006/relationships/hyperlink" Target="https://www.brilworks.com/blog/ai-low-code-no-code-tools/" TargetMode="External"/><Relationship Id="rId15" Type="http://schemas.openxmlformats.org/officeDocument/2006/relationships/fontTable" Target="fontTable.xml"/><Relationship Id="rId10" Type="http://schemas.openxmlformats.org/officeDocument/2006/relationships/hyperlink" Target="https://www.mindk.com/blog/low-code-saas-development/" TargetMode="External"/><Relationship Id="rId4" Type="http://schemas.openxmlformats.org/officeDocument/2006/relationships/hyperlink" Target="https://www.psychiatry.org/news-room/news-releases/annual-poll-adults-express-increasing-anxiousness" TargetMode="External"/><Relationship Id="rId9" Type="http://schemas.openxmlformats.org/officeDocument/2006/relationships/hyperlink" Target="https://www.kovaion.com/blog/low-code-for-saas-how-startups-are-disrupting-markets/" TargetMode="External"/><Relationship Id="rId14" Type="http://schemas.openxmlformats.org/officeDocument/2006/relationships/hyperlink" Target="https://www.treatmentadvocacycenter.org/reports_publications/released-relapsed-rehospitaliz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3068</Words>
  <Characters>17489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Goerl, Brett</dc:creator>
  <cp:keywords/>
  <dc:description/>
  <cp:lastModifiedBy>Goerl, Brett</cp:lastModifiedBy>
  <cp:revision>2</cp:revision>
  <dcterms:created xsi:type="dcterms:W3CDTF">2025-11-26T19:34:00Z</dcterms:created>
  <dcterms:modified xsi:type="dcterms:W3CDTF">2025-12-07T14:50:00Z</dcterms:modified>
</cp:coreProperties>
</file>