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ackground w:color="FDFBF5"/>
  <w:body>
    <w:p>
      <w:pPr>
        <w:spacing w:after="120" w:line="340"/>
      </w:pPr>
      <w:r>
        <w:rPr>
          <w:rFonts w:ascii="Verdana" w:cs="Verdana" w:eastAsia="Verdana" w:hAnsi="Verdana"/>
          <w:color w:val="4B5563"/>
          <w:sz w:val="20"/>
          <w:szCs w:val="20"/>
        </w:rPr>
        <w:t xml:space="preserve">Comitato Pari Opportunità – ODCEC di Forlì</w:t>
      </w:r>
    </w:p>
    <w:p>
      <w:pPr>
        <w:pStyle w:val="Title"/>
        <w:spacing w:after="120"/>
      </w:pPr>
      <w:r>
        <w:rPr>
          <w:rFonts w:ascii="Verdana" w:cs="Verdana" w:eastAsia="Verdana" w:hAnsi="Verdana"/>
          <w:b/>
          <w:bCs/>
          <w:color w:val="2E5E8C"/>
          <w:sz w:val="40"/>
          <w:szCs w:val="40"/>
        </w:rPr>
        <w:t xml:space="preserve">Check-up del Bilancio di genere</w:t>
      </w:r>
    </w:p>
    <w:p>
      <w:pPr>
        <w:spacing w:after="120" w:line="340"/>
      </w:pPr>
      <w:r>
        <w:rPr>
          <w:rFonts w:ascii="Verdana" w:cs="Verdana" w:eastAsia="Verdana" w:hAnsi="Verdana"/>
          <w:color w:val="4B5563"/>
          <w:sz w:val="22"/>
          <w:szCs w:val="22"/>
        </w:rPr>
        <w:t xml:space="preserve">Analisi dei bilanci di genere di Forlì 2023 e 2024, dei dati della Cassa e dell’Albo 2024-2025, delle Linee guida nazionali e di 17 bilanci di altri Ordini</w:t>
      </w:r>
    </w:p>
    <w:p>
      <w:pPr>
        <w:spacing w:after="120" w:line="340"/>
      </w:pPr>
      <w:r>
        <w:rPr>
          <w:rFonts w:ascii="Verdana" w:cs="Verdana" w:eastAsia="Verdana" w:hAnsi="Verdana"/>
          <w:color w:val="4B5563"/>
          <w:sz w:val="20"/>
          <w:szCs w:val="20"/>
        </w:rPr>
        <w:t xml:space="preserve">Documento di lavoro riservato al CPO – settembre 2026</w:t>
      </w:r>
    </w:p>
    <w:p>
      <w:pPr>
        <w:pStyle w:val="Heading2"/>
        <w:keepNext/>
        <w:spacing w:after="120" w:before="280"/>
      </w:pPr>
      <w:r>
        <w:rPr>
          <w:rFonts w:ascii="Verdana" w:cs="Verdana" w:eastAsia="Verdana" w:hAnsi="Verdana"/>
          <w:b/>
          <w:bCs/>
          <w:color w:val="2E5E8C"/>
          <w:sz w:val="25"/>
          <w:szCs w:val="25"/>
        </w:rPr>
        <w:t xml:space="preserve">In sintesi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Verdana" w:cs="Verdana" w:eastAsia="Verdana" w:hAnsi="Verdana"/>
          <w:color w:val="1F2A37"/>
          <w:sz w:val="22"/>
          <w:szCs w:val="22"/>
        </w:rPr>
        <w:t xml:space="preserve">Il bilancio 2024 di Forlì rispetta circa metà dei contenuti minimi delle Linee guida: mancano metodo e fonti, la serie storica per genere, le cariche, le commissioni, i praticanti per genere e il programma per l’anno successivo.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Verdana" w:cs="Verdana" w:eastAsia="Verdana" w:hAnsi="Verdana"/>
          <w:color w:val="1F2A37"/>
          <w:sz w:val="22"/>
          <w:szCs w:val="22"/>
        </w:rPr>
        <w:t xml:space="preserve">Il capitolo sul divario di reddito usa solo dati Emilia-Romagna e Italia, pur avendo nella cartella i dati della Cassa specifici per Forlì. Contiene medie calcolate in modo non corretto e testo copiato da un assistente automatico, rimasto anche nel PDF pubblicato.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Verdana" w:cs="Verdana" w:eastAsia="Verdana" w:hAnsi="Verdana"/>
          <w:color w:val="1F2A37"/>
          <w:sz w:val="22"/>
          <w:szCs w:val="22"/>
        </w:rPr>
        <w:t xml:space="preserve">I dati di Forlì, calcolati qui per la prima volta, sono forti: le donne sono il 45,7% degli iscritti (Italia 34%), ma il divario di reddito è del 54,3%, più alto di Emilia-Romagna (48,2%) e Italia (46,8%), ed è cresciuto di 5 punti in un anno.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Verdana" w:cs="Verdana" w:eastAsia="Verdana" w:hAnsi="Verdana"/>
          <w:color w:val="1F2A37"/>
          <w:sz w:val="22"/>
          <w:szCs w:val="22"/>
        </w:rPr>
        <w:t xml:space="preserve">Tra i 17 bilanci confrontati nessuno riclassifica le spese dell’Ordine, fissa obiettivi numerici da verificare, rende accessibile il documento o raccoglie dati su DSA e inclusione: su questi temi Forlì può essere la prima.</w:t>
      </w:r>
    </w:p>
    <w:p>
      <w:pPr>
        <w:pStyle w:val="Heading1"/>
        <w:pageBreakBefore/>
        <w:spacing w:after="160"/>
      </w:pPr>
      <w:r>
        <w:rPr>
          <w:rFonts w:ascii="Verdana" w:cs="Verdana" w:eastAsia="Verdana" w:hAnsi="Verdana"/>
          <w:b/>
          <w:bCs/>
          <w:color w:val="2E5E8C"/>
          <w:sz w:val="30"/>
          <w:szCs w:val="30"/>
        </w:rPr>
        <w:t xml:space="preserve">1. Documenti analizzati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rPr>
          <w:tblHeader/>
        </w:trPr>
        <w:tc>
          <w:tcPr>
            <w:tcW w:type="dxa" w:w="2300"/>
            <w:shd w:fill="DCE7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/>
                <w:bCs/>
                <w:color w:val="1F2A37"/>
                <w:sz w:val="18"/>
                <w:szCs w:val="18"/>
              </w:rPr>
              <w:t xml:space="preserve">Gruppo</w:t>
            </w:r>
          </w:p>
        </w:tc>
        <w:tc>
          <w:tcPr>
            <w:tcW w:type="dxa" w:w="6726"/>
            <w:shd w:fill="DCE7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/>
                <w:bCs/>
                <w:color w:val="1F2A37"/>
                <w:sz w:val="18"/>
                <w:szCs w:val="18"/>
              </w:rPr>
              <w:t xml:space="preserve">Documenti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18"/>
                <w:szCs w:val="18"/>
              </w:rPr>
              <w:t xml:space="preserve">Ordine di Forlì</w:t>
            </w:r>
          </w:p>
        </w:tc>
        <w:tc>
          <w:tcPr>
            <w:tcW w:type="dxa" w:w="6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18"/>
                <w:szCs w:val="18"/>
              </w:rPr>
              <w:t xml:space="preserve">Bilancio di genere 2023 (aprile 2024); Bilancio di genere 2024 (Word e PDF, novembre 2025); estrazione Albo e Registro tirocinio 2024-2025 (file Excel, 1.286 righe)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18"/>
                <w:szCs w:val="18"/>
              </w:rPr>
              <w:t xml:space="preserve">Cassa Dottori Commercialisti</w:t>
            </w:r>
          </w:p>
        </w:tc>
        <w:tc>
          <w:tcPr>
            <w:tcW w:type="dxa" w:w="6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18"/>
                <w:szCs w:val="18"/>
              </w:rPr>
              <w:t xml:space="preserve">Iscritti attivi, reddito netto (Irpef) e volume d’affari (IVA) per genere ed età – Italia, Emilia-Romagna, Ordine di Forlì – comunicazioni 2024 e 2025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18"/>
                <w:szCs w:val="18"/>
              </w:rPr>
              <w:t xml:space="preserve">Consiglio Nazionale</w:t>
            </w:r>
          </w:p>
        </w:tc>
        <w:tc>
          <w:tcPr>
            <w:tcW w:type="dxa" w:w="6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18"/>
                <w:szCs w:val="18"/>
              </w:rPr>
              <w:t xml:space="preserve">Informativa 31/2024 e Linee guida al bilancio di genere (14/3/2024); Bilancio di genere del CNDCEC anno 2023; Questionario CNPO 2025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18"/>
                <w:szCs w:val="18"/>
              </w:rPr>
              <w:t xml:space="preserve">Emilia-Romagna</w:t>
            </w:r>
          </w:p>
        </w:tc>
        <w:tc>
          <w:tcPr>
            <w:tcW w:type="dxa" w:w="6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18"/>
                <w:szCs w:val="18"/>
              </w:rPr>
              <w:t xml:space="preserve">Bologna 2024, Modena 2024, Parma 2025, Reggio Emilia 2025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18"/>
                <w:szCs w:val="18"/>
              </w:rPr>
              <w:t xml:space="preserve">Altri Ordini</w:t>
            </w:r>
          </w:p>
        </w:tc>
        <w:tc>
          <w:tcPr>
            <w:tcW w:type="dxa" w:w="6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18"/>
                <w:szCs w:val="18"/>
              </w:rPr>
              <w:t xml:space="preserve">Venezia 2024, Padova 2024, Genova 2024 (slide), Roma 2025, Firenze preventivo 2026, Arezzo preventivo 2026, Ancona 2025, Lodi 2024, Bari 2025, Trani 2025, Matera 2025, Nola 2022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18"/>
                <w:szCs w:val="18"/>
              </w:rPr>
              <w:t xml:space="preserve">Non analizzati</w:t>
            </w:r>
          </w:p>
        </w:tc>
        <w:tc>
          <w:tcPr>
            <w:tcW w:type="dxa" w:w="6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18"/>
                <w:szCs w:val="18"/>
              </w:rPr>
              <w:t xml:space="preserve">Reputational Report 2025 (oltre 10 MB, non scaricabile dal connettore); documenti sulla certificazione di parità del Comune di Forlì (già noti)</w:t>
            </w:r>
          </w:p>
        </w:tc>
      </w:tr>
    </w:tbl>
    <w:p>
      <w:pPr>
        <w:pStyle w:val="Heading1"/>
        <w:pageBreakBefore/>
        <w:spacing w:after="160"/>
      </w:pPr>
      <w:r>
        <w:rPr>
          <w:rFonts w:ascii="Verdana" w:cs="Verdana" w:eastAsia="Verdana" w:hAnsi="Verdana"/>
          <w:b/>
          <w:bCs/>
          <w:color w:val="2E5E8C"/>
          <w:sz w:val="30"/>
          <w:szCs w:val="30"/>
        </w:rPr>
        <w:t xml:space="preserve">2. Il bilancio 2024 di Forlì rispetto alle Linee guida</w:t>
      </w:r>
    </w:p>
    <w:p>
      <w:pPr>
        <w:spacing w:after="120" w:line="340"/>
      </w:pPr>
      <w:r>
        <w:rPr>
          <w:rFonts w:ascii="Verdana" w:cs="Verdana" w:eastAsia="Verdana" w:hAnsi="Verdana"/>
          <w:color w:val="1F2A37"/>
          <w:sz w:val="22"/>
          <w:szCs w:val="22"/>
        </w:rPr>
        <w:t xml:space="preserve">Legenda: ✔ presente   ◐ parziale   ✘ assente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300"/>
        <w:gridCol w:w="3526"/>
      </w:tblGrid>
      <w:tr>
        <w:trPr>
          <w:tblHeader/>
        </w:trPr>
        <w:tc>
          <w:tcPr>
            <w:tcW w:type="dxa" w:w="4200"/>
            <w:shd w:fill="DCE7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/>
                <w:bCs/>
                <w:color w:val="1F2A37"/>
                <w:sz w:val="18"/>
                <w:szCs w:val="18"/>
              </w:rPr>
              <w:t xml:space="preserve">Contenuto minimo (Linee guida 14/3/2024)</w:t>
            </w:r>
          </w:p>
        </w:tc>
        <w:tc>
          <w:tcPr>
            <w:tcW w:type="dxa" w:w="1300"/>
            <w:shd w:fill="DCE7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/>
                <w:bCs/>
                <w:color w:val="1F2A37"/>
                <w:sz w:val="18"/>
                <w:szCs w:val="18"/>
              </w:rPr>
              <w:t xml:space="preserve">Forlì 2024</w:t>
            </w:r>
          </w:p>
        </w:tc>
        <w:tc>
          <w:tcPr>
            <w:tcW w:type="dxa" w:w="3526"/>
            <w:shd w:fill="DCE7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/>
                <w:bCs/>
                <w:color w:val="1F2A37"/>
                <w:sz w:val="18"/>
                <w:szCs w:val="18"/>
              </w:rPr>
              <w:t xml:space="preserve">Cosa manca</w:t>
            </w:r>
          </w:p>
        </w:tc>
      </w:tr>
      <w:tr>
        <w:trPr>
          <w:cantSplit/>
        </w:trP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18"/>
                <w:szCs w:val="18"/>
              </w:rPr>
              <w:t xml:space="preserve">CPO: composizione, anno di elezione, mandato, obiettivi, funzioni</w:t>
            </w:r>
          </w:p>
        </w:tc>
        <w:tc>
          <w:tcPr>
            <w:tcW w:type="dxa" w:w="1300"/>
            <w:shd w:fill="E3F1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18"/>
                <w:szCs w:val="18"/>
              </w:rPr>
              <w:t xml:space="preserve">✔</w:t>
            </w:r>
          </w:p>
        </w:tc>
        <w:tc>
          <w:tcPr>
            <w:tcW w:type="dxa" w:w="35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18"/>
                <w:szCs w:val="18"/>
              </w:rPr>
              <w:t xml:space="preserve">Attività svolte nell’anno</w:t>
            </w:r>
          </w:p>
        </w:tc>
        <w:tc>
          <w:tcPr>
            <w:tcW w:type="dxa" w:w="1300"/>
            <w:shd w:fill="FB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18"/>
                <w:szCs w:val="18"/>
              </w:rPr>
              <w:t xml:space="preserve">◐</w:t>
            </w:r>
          </w:p>
        </w:tc>
        <w:tc>
          <w:tcPr>
            <w:tcW w:type="dxa" w:w="35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18"/>
                <w:szCs w:val="18"/>
              </w:rPr>
              <w:t xml:space="preserve">Solo 2 eventi e le riunioni regionali</w:t>
            </w:r>
          </w:p>
        </w:tc>
      </w:tr>
      <w:tr>
        <w:trPr>
          <w:cantSplit/>
        </w:trP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18"/>
                <w:szCs w:val="18"/>
              </w:rPr>
              <w:t xml:space="preserve">Attività programmate per l’anno successivo</w:t>
            </w:r>
          </w:p>
        </w:tc>
        <w:tc>
          <w:tcPr>
            <w:tcW w:type="dxa" w:w="1300"/>
            <w:shd w:fill="F8E1E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18"/>
                <w:szCs w:val="18"/>
              </w:rPr>
              <w:t xml:space="preserve">✘</w:t>
            </w:r>
          </w:p>
        </w:tc>
        <w:tc>
          <w:tcPr>
            <w:tcW w:type="dxa" w:w="35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18"/>
                <w:szCs w:val="18"/>
              </w:rPr>
              <w:t xml:space="preserve">Presente nel 2023, sparita nel 2024</w:t>
            </w:r>
          </w:p>
        </w:tc>
      </w:tr>
      <w:tr>
        <w:trPr>
          <w:cantSplit/>
        </w:trP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18"/>
                <w:szCs w:val="18"/>
              </w:rPr>
              <w:t xml:space="preserve">Budget del CPO e, se negato, motivazioni del Consiglio</w:t>
            </w:r>
          </w:p>
        </w:tc>
        <w:tc>
          <w:tcPr>
            <w:tcW w:type="dxa" w:w="1300"/>
            <w:shd w:fill="FB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18"/>
                <w:szCs w:val="18"/>
              </w:rPr>
              <w:t xml:space="preserve">◐</w:t>
            </w:r>
          </w:p>
        </w:tc>
        <w:tc>
          <w:tcPr>
            <w:tcW w:type="dxa" w:w="35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18"/>
                <w:szCs w:val="18"/>
              </w:rPr>
              <w:t xml:space="preserve">Dichiarato “nessun budget”, senza le motivazioni del Consiglio</w:t>
            </w:r>
          </w:p>
        </w:tc>
      </w:tr>
      <w:tr>
        <w:trPr>
          <w:cantSplit/>
        </w:trP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18"/>
                <w:szCs w:val="18"/>
              </w:rPr>
              <w:t xml:space="preserve">Personale dell’Ordine assegnato al CPO</w:t>
            </w:r>
          </w:p>
        </w:tc>
        <w:tc>
          <w:tcPr>
            <w:tcW w:type="dxa" w:w="1300"/>
            <w:shd w:fill="F8E1E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18"/>
                <w:szCs w:val="18"/>
              </w:rPr>
              <w:t xml:space="preserve">✘</w:t>
            </w:r>
          </w:p>
        </w:tc>
        <w:tc>
          <w:tcPr>
            <w:tcW w:type="dxa" w:w="35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18"/>
                <w:szCs w:val="18"/>
              </w:rPr>
              <w:t xml:space="preserve">Non indicato</w:t>
            </w:r>
          </w:p>
        </w:tc>
      </w:tr>
      <w:tr>
        <w:trPr>
          <w:cantSplit/>
        </w:trP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18"/>
                <w:szCs w:val="18"/>
              </w:rPr>
              <w:t xml:space="preserve">Metodo di redazione e fonti in calce a tabelle e grafici</w:t>
            </w:r>
          </w:p>
        </w:tc>
        <w:tc>
          <w:tcPr>
            <w:tcW w:type="dxa" w:w="1300"/>
            <w:shd w:fill="F8E1E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18"/>
                <w:szCs w:val="18"/>
              </w:rPr>
              <w:t xml:space="preserve">✘</w:t>
            </w:r>
          </w:p>
        </w:tc>
        <w:tc>
          <w:tcPr>
            <w:tcW w:type="dxa" w:w="35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18"/>
                <w:szCs w:val="18"/>
              </w:rPr>
              <w:t xml:space="preserve">Nessun paragrafo sulle fonti</w:t>
            </w:r>
          </w:p>
        </w:tc>
      </w:tr>
      <w:tr>
        <w:trPr>
          <w:cantSplit/>
        </w:trP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18"/>
                <w:szCs w:val="18"/>
              </w:rPr>
              <w:t xml:space="preserve">Iscritti sez. A, B, Elenco speciale al 31/12, per genere e generazione</w:t>
            </w:r>
          </w:p>
        </w:tc>
        <w:tc>
          <w:tcPr>
            <w:tcW w:type="dxa" w:w="1300"/>
            <w:shd w:fill="FB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18"/>
                <w:szCs w:val="18"/>
              </w:rPr>
              <w:t xml:space="preserve">◐</w:t>
            </w:r>
          </w:p>
        </w:tc>
        <w:tc>
          <w:tcPr>
            <w:tcW w:type="dxa" w:w="35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18"/>
                <w:szCs w:val="18"/>
              </w:rPr>
              <w:t xml:space="preserve">Genere solo sul totale; sezioni e generazioni senza genere</w:t>
            </w:r>
          </w:p>
        </w:tc>
      </w:tr>
      <w:tr>
        <w:trPr>
          <w:cantSplit/>
        </w:trP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18"/>
                <w:szCs w:val="18"/>
              </w:rPr>
              <w:t xml:space="preserve">Serie storica di almeno 5 anni</w:t>
            </w:r>
          </w:p>
        </w:tc>
        <w:tc>
          <w:tcPr>
            <w:tcW w:type="dxa" w:w="1300"/>
            <w:shd w:fill="FB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18"/>
                <w:szCs w:val="18"/>
              </w:rPr>
              <w:t xml:space="preserve">◐</w:t>
            </w:r>
          </w:p>
        </w:tc>
        <w:tc>
          <w:tcPr>
            <w:tcW w:type="dxa" w:w="35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18"/>
                <w:szCs w:val="18"/>
              </w:rPr>
              <w:t xml:space="preserve">Solo totali, non per genere</w:t>
            </w:r>
          </w:p>
        </w:tc>
      </w:tr>
      <w:tr>
        <w:trPr>
          <w:cantSplit/>
        </w:trP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18"/>
                <w:szCs w:val="18"/>
              </w:rPr>
              <w:t xml:space="preserve">Consiglio per genere e cariche (Presidente, Vice, Segretario)</w:t>
            </w:r>
          </w:p>
        </w:tc>
        <w:tc>
          <w:tcPr>
            <w:tcW w:type="dxa" w:w="1300"/>
            <w:shd w:fill="FB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18"/>
                <w:szCs w:val="18"/>
              </w:rPr>
              <w:t xml:space="preserve">◐</w:t>
            </w:r>
          </w:p>
        </w:tc>
        <w:tc>
          <w:tcPr>
            <w:tcW w:type="dxa" w:w="35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18"/>
                <w:szCs w:val="18"/>
              </w:rPr>
              <w:t xml:space="preserve">Solo 4 donne e 7 uomini, senza cariche</w:t>
            </w:r>
          </w:p>
        </w:tc>
      </w:tr>
      <w:tr>
        <w:trPr>
          <w:cantSplit/>
        </w:trP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18"/>
                <w:szCs w:val="18"/>
              </w:rPr>
              <w:t xml:space="preserve">Confronto con le due consigliature precedenti</w:t>
            </w:r>
          </w:p>
        </w:tc>
        <w:tc>
          <w:tcPr>
            <w:tcW w:type="dxa" w:w="1300"/>
            <w:shd w:fill="F8E1E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18"/>
                <w:szCs w:val="18"/>
              </w:rPr>
              <w:t xml:space="preserve">✘</w:t>
            </w:r>
          </w:p>
        </w:tc>
        <w:tc>
          <w:tcPr>
            <w:tcW w:type="dxa" w:w="35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18"/>
                <w:szCs w:val="18"/>
              </w:rPr>
              <w:t xml:space="preserve">Commissioni per genere</w:t>
            </w:r>
          </w:p>
        </w:tc>
        <w:tc>
          <w:tcPr>
            <w:tcW w:type="dxa" w:w="1300"/>
            <w:shd w:fill="F8E1E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18"/>
                <w:szCs w:val="18"/>
              </w:rPr>
              <w:t xml:space="preserve">✘</w:t>
            </w:r>
          </w:p>
        </w:tc>
        <w:tc>
          <w:tcPr>
            <w:tcW w:type="dxa" w:w="35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18"/>
                <w:szCs w:val="18"/>
              </w:rPr>
              <w:t xml:space="preserve">Praticanti con la stessa analisi degli iscritti</w:t>
            </w:r>
          </w:p>
        </w:tc>
        <w:tc>
          <w:tcPr>
            <w:tcW w:type="dxa" w:w="1300"/>
            <w:shd w:fill="FB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18"/>
                <w:szCs w:val="18"/>
              </w:rPr>
              <w:t xml:space="preserve">◐</w:t>
            </w:r>
          </w:p>
        </w:tc>
        <w:tc>
          <w:tcPr>
            <w:tcW w:type="dxa" w:w="35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18"/>
                <w:szCs w:val="18"/>
              </w:rPr>
              <w:t xml:space="preserve">Solo totali: manca il genere (le donne sono il 60%)</w:t>
            </w:r>
          </w:p>
        </w:tc>
      </w:tr>
      <w:tr>
        <w:trPr>
          <w:cantSplit/>
        </w:trP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18"/>
                <w:szCs w:val="18"/>
              </w:rPr>
              <w:t xml:space="preserve">Divario di reddito con dati Cassa per genere ed età, rapportati agli iscritti</w:t>
            </w:r>
          </w:p>
        </w:tc>
        <w:tc>
          <w:tcPr>
            <w:tcW w:type="dxa" w:w="1300"/>
            <w:shd w:fill="F8E1E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18"/>
                <w:szCs w:val="18"/>
              </w:rPr>
              <w:t xml:space="preserve">✘</w:t>
            </w:r>
          </w:p>
        </w:tc>
        <w:tc>
          <w:tcPr>
            <w:tcW w:type="dxa" w:w="35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18"/>
                <w:szCs w:val="18"/>
              </w:rPr>
              <w:t xml:space="preserve">Usati solo dati regionali e nazionali, non quelli di Forlì</w:t>
            </w:r>
          </w:p>
        </w:tc>
      </w:tr>
      <w:tr>
        <w:trPr>
          <w:cantSplit/>
        </w:trP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18"/>
                <w:szCs w:val="18"/>
              </w:rPr>
              <w:t xml:space="preserve">Sondaggio (facoltativo)</w:t>
            </w:r>
          </w:p>
        </w:tc>
        <w:tc>
          <w:tcPr>
            <w:tcW w:type="dxa" w:w="1300"/>
            <w:shd w:fill="F8E1E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18"/>
                <w:szCs w:val="18"/>
              </w:rPr>
              <w:t xml:space="preserve">✘</w:t>
            </w:r>
          </w:p>
        </w:tc>
        <w:tc>
          <w:tcPr>
            <w:tcW w:type="dxa" w:w="35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18"/>
                <w:szCs w:val="18"/>
              </w:rPr>
              <w:t xml:space="preserve">Nel 2023 citato il sondaggio regionale SAF-ER</w:t>
            </w:r>
          </w:p>
        </w:tc>
      </w:tr>
      <w:tr>
        <w:trPr>
          <w:cantSplit/>
        </w:trP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18"/>
                <w:szCs w:val="18"/>
              </w:rPr>
              <w:t xml:space="preserve">Analisi facoltative (genitorialità, molestie, Tribunale, CCIAA…)</w:t>
            </w:r>
          </w:p>
        </w:tc>
        <w:tc>
          <w:tcPr>
            <w:tcW w:type="dxa" w:w="1300"/>
            <w:shd w:fill="F8E1E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18"/>
                <w:szCs w:val="18"/>
              </w:rPr>
              <w:t xml:space="preserve">✘</w:t>
            </w:r>
          </w:p>
        </w:tc>
        <w:tc>
          <w:tcPr>
            <w:tcW w:type="dxa" w:w="35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18"/>
                <w:szCs w:val="18"/>
              </w:rPr>
              <w:t xml:space="preserve">Conclusioni con la progettualità futura</w:t>
            </w:r>
          </w:p>
        </w:tc>
        <w:tc>
          <w:tcPr>
            <w:tcW w:type="dxa" w:w="1300"/>
            <w:shd w:fill="FB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18"/>
                <w:szCs w:val="18"/>
              </w:rPr>
              <w:t xml:space="preserve">◐</w:t>
            </w:r>
          </w:p>
        </w:tc>
        <w:tc>
          <w:tcPr>
            <w:tcW w:type="dxa" w:w="35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18"/>
                <w:szCs w:val="18"/>
              </w:rPr>
              <w:t xml:space="preserve">Conclusioni generiche, senza azioni</w:t>
            </w:r>
          </w:p>
        </w:tc>
      </w:tr>
    </w:tbl>
    <w:p>
      <w:pPr>
        <w:pStyle w:val="Heading2"/>
        <w:keepNext/>
        <w:spacing w:after="120" w:before="280"/>
      </w:pPr>
      <w:r>
        <w:rPr>
          <w:rFonts w:ascii="Verdana" w:cs="Verdana" w:eastAsia="Verdana" w:hAnsi="Verdana"/>
          <w:b/>
          <w:bCs/>
          <w:color w:val="2E5E8C"/>
          <w:sz w:val="25"/>
          <w:szCs w:val="25"/>
        </w:rPr>
        <w:t xml:space="preserve">Errori da non ripetere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Verdana" w:cs="Verdana" w:eastAsia="Verdana" w:hAnsi="Verdana"/>
          <w:color w:val="1F2A37"/>
          <w:sz w:val="22"/>
          <w:szCs w:val="22"/>
        </w:rPr>
        <w:t xml:space="preserve">Nel capitolo sul divario di reddito è rimasto testo generato da un assistente automatico (“Di seguito trovi medie, osservazioni e una lettura comparativa”, simboli ed emoji nel file Word). Il testo è presente anche nel PDF pubblicato.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Verdana" w:cs="Verdana" w:eastAsia="Verdana" w:hAnsi="Verdana"/>
          <w:color w:val="1F2A37"/>
          <w:sz w:val="22"/>
          <w:szCs w:val="22"/>
        </w:rPr>
        <w:t xml:space="preserve">Le “medie generali” sono medie semplici delle fasce d’età, senza pesare il numero di iscritti in ciascuna fascia. Vanno usati i totali forniti dalla Cassa.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Verdana" w:cs="Verdana" w:eastAsia="Verdana" w:hAnsi="Verdana"/>
          <w:color w:val="1F2A37"/>
          <w:sz w:val="22"/>
          <w:szCs w:val="22"/>
        </w:rPr>
        <w:t xml:space="preserve">La frase “il gender gap è più ampio in Emilia-Romagna (+71%)” non corrisponde a un indicatore definito. Il divario va espresso sempre come (media uomini − media donne) / media uomini.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Verdana" w:cs="Verdana" w:eastAsia="Verdana" w:hAnsi="Verdana"/>
          <w:color w:val="1F2A37"/>
          <w:sz w:val="22"/>
          <w:szCs w:val="22"/>
        </w:rPr>
        <w:t xml:space="preserve">Non è chiaro se la tabella riporti reddito o volume d’affari, né se includa la Cassa Ragionieri. Le Linee guida chiedono il volume d’affari.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Verdana" w:cs="Verdana" w:eastAsia="Verdana" w:hAnsi="Verdana"/>
          <w:color w:val="1F2A37"/>
          <w:sz w:val="22"/>
          <w:szCs w:val="22"/>
        </w:rPr>
        <w:t xml:space="preserve">La direttiva UE 2023/970 sulla trasparenza retributiva è del 10 maggio 2023 (non del 20) e andava recepita entro il 7 giugno 2026: il passaggio “in Italia non c’è alcun dibattito” va aggiornato. Il dato “gap nel settore privato 20%” non ha fonte.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Verdana" w:cs="Verdana" w:eastAsia="Verdana" w:hAnsi="Verdana"/>
          <w:color w:val="1F2A37"/>
          <w:sz w:val="22"/>
          <w:szCs w:val="22"/>
        </w:rPr>
        <w:t xml:space="preserve">Piccoli refusi (“cosiglieri”, “obbiettivi”). Il bilancio 2024 è datato 21 novembre 2025: le Linee guida prevedono la presentazione all’assemblea degli iscritti.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Verdana" w:cs="Verdana" w:eastAsia="Verdana" w:hAnsi="Verdana"/>
          <w:color w:val="1F2A37"/>
          <w:sz w:val="22"/>
          <w:szCs w:val="22"/>
        </w:rPr>
        <w:t xml:space="preserve">Differenza minima tra bilancio ed estrazione: 634 Albo + 13 Elenco speciale nel bilancio, 633 + 14 nel file Excel (totale 647 in entrambi).</w:t>
      </w:r>
    </w:p>
    <w:p>
      <w:pPr>
        <w:pStyle w:val="Heading1"/>
        <w:pageBreakBefore/>
        <w:spacing w:after="160"/>
      </w:pPr>
      <w:r>
        <w:rPr>
          <w:rFonts w:ascii="Verdana" w:cs="Verdana" w:eastAsia="Verdana" w:hAnsi="Verdana"/>
          <w:b/>
          <w:bCs/>
          <w:color w:val="2E5E8C"/>
          <w:sz w:val="30"/>
          <w:szCs w:val="30"/>
        </w:rPr>
        <w:t xml:space="preserve">3. I dati di Forlì, calcolati sui file della cartella</w:t>
      </w:r>
    </w:p>
    <w:p>
      <w:pPr>
        <w:pStyle w:val="Heading2"/>
        <w:keepNext/>
        <w:spacing w:after="120" w:before="280"/>
      </w:pPr>
      <w:r>
        <w:rPr>
          <w:rFonts w:ascii="Verdana" w:cs="Verdana" w:eastAsia="Verdana" w:hAnsi="Verdana"/>
          <w:b/>
          <w:bCs/>
          <w:color w:val="2E5E8C"/>
          <w:sz w:val="25"/>
          <w:szCs w:val="25"/>
        </w:rPr>
        <w:t xml:space="preserve">3.1 Iscritti per genere (Albo + Elenco speciale al 31/12)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2000"/>
        <w:gridCol w:w="2026"/>
      </w:tblGrid>
      <w:tr>
        <w:trPr>
          <w:tblHeader/>
        </w:trPr>
        <w:tc>
          <w:tcPr>
            <w:tcW w:type="dxa" w:w="3000"/>
            <w:shd w:fill="DCE7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/>
                <w:bCs/>
                <w:color w:val="1F2A37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shd w:fill="DCE7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/>
                <w:bCs/>
                <w:color w:val="1F2A37"/>
                <w:sz w:val="18"/>
                <w:szCs w:val="18"/>
              </w:rPr>
              <w:t xml:space="preserve">2023</w:t>
            </w:r>
          </w:p>
        </w:tc>
        <w:tc>
          <w:tcPr>
            <w:tcW w:type="dxa" w:w="2000"/>
            <w:shd w:fill="DCE7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/>
                <w:bCs/>
                <w:color w:val="1F2A37"/>
                <w:sz w:val="18"/>
                <w:szCs w:val="18"/>
              </w:rPr>
              <w:t xml:space="preserve">2024</w:t>
            </w:r>
          </w:p>
        </w:tc>
        <w:tc>
          <w:tcPr>
            <w:tcW w:type="dxa" w:w="2026"/>
            <w:shd w:fill="DCE7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/>
                <w:bCs/>
                <w:color w:val="1F2A37"/>
                <w:sz w:val="18"/>
                <w:szCs w:val="18"/>
              </w:rPr>
              <w:t xml:space="preserve">2025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18"/>
                <w:szCs w:val="18"/>
              </w:rPr>
              <w:t xml:space="preserve">Totale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18"/>
                <w:szCs w:val="18"/>
              </w:rPr>
              <w:t xml:space="preserve">654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18"/>
                <w:szCs w:val="18"/>
              </w:rPr>
              <w:t xml:space="preserve">647</w:t>
            </w:r>
          </w:p>
        </w:tc>
        <w:tc>
          <w:tcPr>
            <w:tcW w:type="dxa" w:w="2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18"/>
                <w:szCs w:val="18"/>
              </w:rPr>
              <w:t xml:space="preserve">639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18"/>
                <w:szCs w:val="18"/>
              </w:rPr>
              <w:t xml:space="preserve">Donne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18"/>
                <w:szCs w:val="18"/>
              </w:rPr>
              <w:t xml:space="preserve">301 (46,0%)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18"/>
                <w:szCs w:val="18"/>
              </w:rPr>
              <w:t xml:space="preserve">299 (46,2%)</w:t>
            </w:r>
          </w:p>
        </w:tc>
        <w:tc>
          <w:tcPr>
            <w:tcW w:type="dxa" w:w="2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18"/>
                <w:szCs w:val="18"/>
              </w:rPr>
              <w:t xml:space="preserve">292 (45,7%)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18"/>
                <w:szCs w:val="18"/>
              </w:rPr>
              <w:t xml:space="preserve">Uomini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18"/>
                <w:szCs w:val="18"/>
              </w:rPr>
              <w:t xml:space="preserve">353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18"/>
                <w:szCs w:val="18"/>
              </w:rPr>
              <w:t xml:space="preserve">348</w:t>
            </w:r>
          </w:p>
        </w:tc>
        <w:tc>
          <w:tcPr>
            <w:tcW w:type="dxa" w:w="2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18"/>
                <w:szCs w:val="18"/>
              </w:rPr>
              <w:t xml:space="preserve">347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18"/>
                <w:szCs w:val="18"/>
              </w:rPr>
              <w:t xml:space="preserve">Elenco speciale (di cui donne)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18"/>
                <w:szCs w:val="18"/>
              </w:rPr>
              <w:t xml:space="preserve">13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18"/>
                <w:szCs w:val="18"/>
              </w:rPr>
              <w:t xml:space="preserve">14 (11)</w:t>
            </w:r>
          </w:p>
        </w:tc>
        <w:tc>
          <w:tcPr>
            <w:tcW w:type="dxa" w:w="2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18"/>
                <w:szCs w:val="18"/>
              </w:rPr>
              <w:t xml:space="preserve">11 (8)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18"/>
                <w:szCs w:val="18"/>
              </w:rPr>
              <w:t xml:space="preserve">Età media donne / uomini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18"/>
                <w:szCs w:val="18"/>
              </w:rPr>
              <w:t xml:space="preserve">—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18"/>
                <w:szCs w:val="18"/>
              </w:rPr>
              <w:t xml:space="preserve">50,3 / 55,5</w:t>
            </w:r>
          </w:p>
        </w:tc>
        <w:tc>
          <w:tcPr>
            <w:tcW w:type="dxa" w:w="2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18"/>
                <w:szCs w:val="18"/>
              </w:rPr>
              <w:t xml:space="preserve">51,0 / 55,7</w:t>
            </w:r>
          </w:p>
        </w:tc>
      </w:tr>
    </w:tbl>
    <w:p>
      <w:pPr>
        <w:spacing w:after="120" w:line="340"/>
      </w:pPr>
      <w:r>
        <w:rPr>
          <w:rFonts w:ascii="Verdana" w:cs="Verdana" w:eastAsia="Verdana" w:hAnsi="Verdana"/>
          <w:color w:val="4B5563"/>
          <w:sz w:val="18"/>
          <w:szCs w:val="18"/>
        </w:rPr>
        <w:t xml:space="preserve">Fonte: 2023 bilancio di genere 2023; 2024-2025 elaborazione CPO su estrazione Albo. Confronto: donne iscritte Italia 33,9%, Emilia-Romagna 34,2% (CNPO 2025, dati 31/12/2024).</w:t>
      </w:r>
    </w:p>
    <w:p>
      <w:pPr>
        <w:pStyle w:val="Heading2"/>
        <w:keepNext/>
        <w:spacing w:after="120" w:before="280"/>
      </w:pPr>
      <w:r>
        <w:rPr>
          <w:rFonts w:ascii="Verdana" w:cs="Verdana" w:eastAsia="Verdana" w:hAnsi="Verdana"/>
          <w:b/>
          <w:bCs/>
          <w:color w:val="2E5E8C"/>
          <w:sz w:val="25"/>
          <w:szCs w:val="25"/>
        </w:rPr>
        <w:t xml:space="preserve">3.2 Donne per classe d’età (2025, classi del questionario nazionale)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2000"/>
        <w:gridCol w:w="2026"/>
      </w:tblGrid>
      <w:tr>
        <w:trPr>
          <w:tblHeader/>
        </w:trPr>
        <w:tc>
          <w:tcPr>
            <w:tcW w:type="dxa" w:w="3000"/>
            <w:shd w:fill="DCE7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/>
                <w:bCs/>
                <w:color w:val="1F2A37"/>
                <w:sz w:val="18"/>
                <w:szCs w:val="18"/>
              </w:rPr>
              <w:t xml:space="preserve">Classe d’età</w:t>
            </w:r>
          </w:p>
        </w:tc>
        <w:tc>
          <w:tcPr>
            <w:tcW w:type="dxa" w:w="2000"/>
            <w:shd w:fill="DCE7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/>
                <w:bCs/>
                <w:color w:val="1F2A37"/>
                <w:sz w:val="18"/>
                <w:szCs w:val="18"/>
              </w:rPr>
              <w:t xml:space="preserve">Donne</w:t>
            </w:r>
          </w:p>
        </w:tc>
        <w:tc>
          <w:tcPr>
            <w:tcW w:type="dxa" w:w="2000"/>
            <w:shd w:fill="DCE7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/>
                <w:bCs/>
                <w:color w:val="1F2A37"/>
                <w:sz w:val="18"/>
                <w:szCs w:val="18"/>
              </w:rPr>
              <w:t xml:space="preserve">Uomini</w:t>
            </w:r>
          </w:p>
        </w:tc>
        <w:tc>
          <w:tcPr>
            <w:tcW w:type="dxa" w:w="2026"/>
            <w:shd w:fill="DCE7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/>
                <w:bCs/>
                <w:color w:val="1F2A37"/>
                <w:sz w:val="18"/>
                <w:szCs w:val="18"/>
              </w:rPr>
              <w:t xml:space="preserve">% donne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18"/>
                <w:szCs w:val="18"/>
              </w:rPr>
              <w:t xml:space="preserve">Fino a 35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18"/>
                <w:szCs w:val="18"/>
              </w:rPr>
              <w:t xml:space="preserve">28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18"/>
                <w:szCs w:val="18"/>
              </w:rPr>
              <w:t xml:space="preserve">25</w:t>
            </w:r>
          </w:p>
        </w:tc>
        <w:tc>
          <w:tcPr>
            <w:tcW w:type="dxa" w:w="2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18"/>
                <w:szCs w:val="18"/>
              </w:rPr>
              <w:t xml:space="preserve">52,8%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18"/>
                <w:szCs w:val="18"/>
              </w:rPr>
              <w:t xml:space="preserve">36-45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18"/>
                <w:szCs w:val="18"/>
              </w:rPr>
              <w:t xml:space="preserve">60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18"/>
                <w:szCs w:val="18"/>
              </w:rPr>
              <w:t xml:space="preserve">38</w:t>
            </w:r>
          </w:p>
        </w:tc>
        <w:tc>
          <w:tcPr>
            <w:tcW w:type="dxa" w:w="2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18"/>
                <w:szCs w:val="18"/>
              </w:rPr>
              <w:t xml:space="preserve">61,2%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18"/>
                <w:szCs w:val="18"/>
              </w:rPr>
              <w:t xml:space="preserve">46-55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18"/>
                <w:szCs w:val="18"/>
              </w:rPr>
              <w:t xml:space="preserve">99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18"/>
                <w:szCs w:val="18"/>
              </w:rPr>
              <w:t xml:space="preserve">92</w:t>
            </w:r>
          </w:p>
        </w:tc>
        <w:tc>
          <w:tcPr>
            <w:tcW w:type="dxa" w:w="2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18"/>
                <w:szCs w:val="18"/>
              </w:rPr>
              <w:t xml:space="preserve">51,8%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18"/>
                <w:szCs w:val="18"/>
              </w:rPr>
              <w:t xml:space="preserve">56-65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18"/>
                <w:szCs w:val="18"/>
              </w:rPr>
              <w:t xml:space="preserve">81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18"/>
                <w:szCs w:val="18"/>
              </w:rPr>
              <w:t xml:space="preserve">127</w:t>
            </w:r>
          </w:p>
        </w:tc>
        <w:tc>
          <w:tcPr>
            <w:tcW w:type="dxa" w:w="2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18"/>
                <w:szCs w:val="18"/>
              </w:rPr>
              <w:t xml:space="preserve">38,9%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18"/>
                <w:szCs w:val="18"/>
              </w:rPr>
              <w:t xml:space="preserve">Oltre 65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18"/>
                <w:szCs w:val="18"/>
              </w:rPr>
              <w:t xml:space="preserve">24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18"/>
                <w:szCs w:val="18"/>
              </w:rPr>
              <w:t xml:space="preserve">65</w:t>
            </w:r>
          </w:p>
        </w:tc>
        <w:tc>
          <w:tcPr>
            <w:tcW w:type="dxa" w:w="2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18"/>
                <w:szCs w:val="18"/>
              </w:rPr>
              <w:t xml:space="preserve">27,0%</w:t>
            </w:r>
          </w:p>
        </w:tc>
      </w:tr>
    </w:tbl>
    <w:p>
      <w:pPr>
        <w:spacing w:after="120" w:line="340"/>
      </w:pPr>
      <w:r>
        <w:rPr>
          <w:rFonts w:ascii="Verdana" w:cs="Verdana" w:eastAsia="Verdana" w:hAnsi="Verdana"/>
          <w:color w:val="1F2A37"/>
          <w:sz w:val="22"/>
          <w:szCs w:val="22"/>
        </w:rPr>
        <w:t xml:space="preserve">Sotto i 56 anni le donne sono già maggioranza in tutte le classi. La parità numerica dell’Albo è una questione di anni: il dato giustifica la proiezione demografica proposta nel capitolo 5.</w:t>
      </w:r>
    </w:p>
    <w:p>
      <w:pPr>
        <w:pStyle w:val="Heading2"/>
        <w:keepNext/>
        <w:spacing w:after="120" w:before="280"/>
      </w:pPr>
      <w:r>
        <w:rPr>
          <w:rFonts w:ascii="Verdana" w:cs="Verdana" w:eastAsia="Verdana" w:hAnsi="Verdana"/>
          <w:b/>
          <w:bCs/>
          <w:color w:val="2E5E8C"/>
          <w:sz w:val="25"/>
          <w:szCs w:val="25"/>
        </w:rPr>
        <w:t xml:space="preserve">3.3 Praticanti e movimenti 2024-2025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500"/>
        <w:gridCol w:w="2526"/>
      </w:tblGrid>
      <w:tr>
        <w:trPr>
          <w:tblHeader/>
        </w:trPr>
        <w:tc>
          <w:tcPr>
            <w:tcW w:type="dxa" w:w="4000"/>
            <w:shd w:fill="DCE7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/>
                <w:bCs/>
                <w:color w:val="1F2A37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shd w:fill="DCE7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/>
                <w:bCs/>
                <w:color w:val="1F2A37"/>
                <w:sz w:val="18"/>
                <w:szCs w:val="18"/>
              </w:rPr>
              <w:t xml:space="preserve">2024</w:t>
            </w:r>
          </w:p>
        </w:tc>
        <w:tc>
          <w:tcPr>
            <w:tcW w:type="dxa" w:w="2526"/>
            <w:shd w:fill="DCE7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/>
                <w:bCs/>
                <w:color w:val="1F2A37"/>
                <w:sz w:val="18"/>
                <w:szCs w:val="18"/>
              </w:rPr>
              <w:t xml:space="preserve">2025</w:t>
            </w:r>
          </w:p>
        </w:tc>
      </w:tr>
      <w:tr>
        <w:trPr>
          <w:cantSplit/>
        </w:trPr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18"/>
                <w:szCs w:val="18"/>
              </w:rPr>
              <w:t xml:space="preserve">Praticanti totali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18"/>
                <w:szCs w:val="18"/>
              </w:rPr>
              <w:t xml:space="preserve">25</w:t>
            </w:r>
          </w:p>
        </w:tc>
        <w:tc>
          <w:tcPr>
            <w:tcW w:type="dxa" w:w="25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18"/>
                <w:szCs w:val="18"/>
              </w:rPr>
              <w:t xml:space="preserve">33</w:t>
            </w:r>
          </w:p>
        </w:tc>
      </w:tr>
      <w:tr>
        <w:trPr>
          <w:cantSplit/>
        </w:trPr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18"/>
                <w:szCs w:val="18"/>
              </w:rPr>
              <w:t xml:space="preserve">di cui donne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18"/>
                <w:szCs w:val="18"/>
              </w:rPr>
              <w:t xml:space="preserve">15 (60,0%)</w:t>
            </w:r>
          </w:p>
        </w:tc>
        <w:tc>
          <w:tcPr>
            <w:tcW w:type="dxa" w:w="25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18"/>
                <w:szCs w:val="18"/>
              </w:rPr>
              <w:t xml:space="preserve">20 (60,6%)</w:t>
            </w:r>
          </w:p>
        </w:tc>
      </w:tr>
      <w:tr>
        <w:trPr>
          <w:cantSplit/>
        </w:trPr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18"/>
                <w:szCs w:val="18"/>
              </w:rPr>
              <w:t xml:space="preserve">Uscite dall’Albo 2024→2025 (stima)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18"/>
                <w:szCs w:val="18"/>
              </w:rPr>
              <w:t xml:space="preserve">—</w:t>
            </w:r>
          </w:p>
        </w:tc>
        <w:tc>
          <w:tcPr>
            <w:tcW w:type="dxa" w:w="25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18"/>
                <w:szCs w:val="18"/>
              </w:rPr>
              <w:t xml:space="preserve">17: 9 donne, 8 uomini</w:t>
            </w:r>
          </w:p>
        </w:tc>
      </w:tr>
      <w:tr>
        <w:trPr>
          <w:cantSplit/>
        </w:trPr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18"/>
                <w:szCs w:val="18"/>
              </w:rPr>
              <w:t xml:space="preserve">Ingressi nell’Albo 2024→2025 (stima)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18"/>
                <w:szCs w:val="18"/>
              </w:rPr>
              <w:t xml:space="preserve">—</w:t>
            </w:r>
          </w:p>
        </w:tc>
        <w:tc>
          <w:tcPr>
            <w:tcW w:type="dxa" w:w="25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18"/>
                <w:szCs w:val="18"/>
              </w:rPr>
              <w:t xml:space="preserve">9: 2 donne, 7 uomini</w:t>
            </w:r>
          </w:p>
        </w:tc>
      </w:tr>
    </w:tbl>
    <w:p>
      <w:pPr>
        <w:spacing w:after="120" w:line="340"/>
      </w:pPr>
      <w:r>
        <w:rPr>
          <w:rFonts w:ascii="Verdana" w:cs="Verdana" w:eastAsia="Verdana" w:hAnsi="Verdana"/>
          <w:color w:val="1F2A37"/>
          <w:sz w:val="22"/>
          <w:szCs w:val="22"/>
        </w:rPr>
        <w:t xml:space="preserve">Due segnali da verificare con la Segreteria. Le praticanti sono il 60%, ma tra i nuovi iscritti del 2025 le donne sono solo 2 su 9. Tra le uscite, 4 donne hanno meno di 50 anni, mentre gli uomini usciti sono in gran parte oltre i 57 anni. È il fenomeno segnalato anche dal Consiglio Nazionale: le donne sono passate dal 39% al 46% delle cancellazioni dalla Cassa tra il 2018 e il 2023.</w:t>
      </w:r>
    </w:p>
    <w:p>
      <w:pPr>
        <w:spacing w:after="120" w:line="340"/>
      </w:pPr>
      <w:r>
        <w:rPr>
          <w:rFonts w:ascii="Verdana" w:cs="Verdana" w:eastAsia="Verdana" w:hAnsi="Verdana"/>
          <w:color w:val="4B5563"/>
          <w:sz w:val="18"/>
          <w:szCs w:val="18"/>
        </w:rPr>
        <w:t xml:space="preserve">Stima ottenuta confrontando gli elenchi anonimi dei due anni (genere, anno di nascita, sezione). Per il bilancio serve il dato ufficiale di iscrizioni e cancellazioni con il motivo.</w:t>
      </w:r>
    </w:p>
    <w:p>
      <w:pPr>
        <w:pStyle w:val="Heading2"/>
        <w:keepNext/>
        <w:spacing w:after="120" w:before="280"/>
      </w:pPr>
      <w:r>
        <w:rPr>
          <w:rFonts w:ascii="Verdana" w:cs="Verdana" w:eastAsia="Verdana" w:hAnsi="Verdana"/>
          <w:b/>
          <w:bCs/>
          <w:color w:val="2E5E8C"/>
          <w:sz w:val="25"/>
          <w:szCs w:val="25"/>
        </w:rPr>
        <w:t xml:space="preserve">3.4 Divario di reddito: Forlì, Emilia-Romagna, Italia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1900"/>
        <w:gridCol w:w="1900"/>
        <w:gridCol w:w="1926"/>
      </w:tblGrid>
      <w:tr>
        <w:trPr>
          <w:tblHeader/>
        </w:trPr>
        <w:tc>
          <w:tcPr>
            <w:tcW w:type="dxa" w:w="3300"/>
            <w:shd w:fill="DCE7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/>
                <w:bCs/>
                <w:color w:val="1F2A37"/>
                <w:sz w:val="18"/>
                <w:szCs w:val="18"/>
              </w:rPr>
              <w:t xml:space="preserve">Cassa Dottori – iscritti attivi</w:t>
            </w:r>
          </w:p>
        </w:tc>
        <w:tc>
          <w:tcPr>
            <w:tcW w:type="dxa" w:w="1900"/>
            <w:shd w:fill="DCE7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/>
                <w:bCs/>
                <w:color w:val="1F2A37"/>
                <w:sz w:val="18"/>
                <w:szCs w:val="18"/>
              </w:rPr>
              <w:t xml:space="preserve">Forlì</w:t>
            </w:r>
          </w:p>
        </w:tc>
        <w:tc>
          <w:tcPr>
            <w:tcW w:type="dxa" w:w="1900"/>
            <w:shd w:fill="DCE7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/>
                <w:bCs/>
                <w:color w:val="1F2A37"/>
                <w:sz w:val="18"/>
                <w:szCs w:val="18"/>
              </w:rPr>
              <w:t xml:space="preserve">Emilia-Romagna</w:t>
            </w:r>
          </w:p>
        </w:tc>
        <w:tc>
          <w:tcPr>
            <w:tcW w:type="dxa" w:w="1926"/>
            <w:shd w:fill="DCE7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/>
                <w:bCs/>
                <w:color w:val="1F2A37"/>
                <w:sz w:val="18"/>
                <w:szCs w:val="18"/>
              </w:rPr>
              <w:t xml:space="preserve">Italia</w:t>
            </w:r>
          </w:p>
        </w:tc>
      </w:tr>
      <w:tr>
        <w:trPr>
          <w:cantSplit/>
        </w:trP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18"/>
                <w:szCs w:val="18"/>
              </w:rPr>
              <w:t xml:space="preserve">Iscritti attivi (donne %)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18"/>
                <w:szCs w:val="18"/>
              </w:rPr>
              <w:t xml:space="preserve">486 (45,3%)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18"/>
                <w:szCs w:val="18"/>
              </w:rPr>
              <w:t xml:space="preserve">6.098 (40,8%)</w:t>
            </w:r>
          </w:p>
        </w:tc>
        <w:tc>
          <w:tcPr>
            <w:tcW w:type="dxa" w:w="19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18"/>
                <w:szCs w:val="18"/>
              </w:rPr>
              <w:t xml:space="preserve">73.959 (33,4%)</w:t>
            </w:r>
          </w:p>
        </w:tc>
      </w:tr>
      <w:tr>
        <w:trPr>
          <w:cantSplit/>
        </w:trP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18"/>
                <w:szCs w:val="18"/>
              </w:rPr>
              <w:t xml:space="preserve">Reddito medio uomini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18"/>
                <w:szCs w:val="18"/>
              </w:rPr>
              <w:t xml:space="preserve">129.687 €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18"/>
                <w:szCs w:val="18"/>
              </w:rPr>
              <w:t xml:space="preserve">133.509 €</w:t>
            </w:r>
          </w:p>
        </w:tc>
        <w:tc>
          <w:tcPr>
            <w:tcW w:type="dxa" w:w="19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18"/>
                <w:szCs w:val="18"/>
              </w:rPr>
              <w:t xml:space="preserve">115.046 €</w:t>
            </w:r>
          </w:p>
        </w:tc>
      </w:tr>
      <w:tr>
        <w:trPr>
          <w:cantSplit/>
        </w:trP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18"/>
                <w:szCs w:val="18"/>
              </w:rPr>
              <w:t xml:space="preserve">Reddito medio donne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18"/>
                <w:szCs w:val="18"/>
              </w:rPr>
              <w:t xml:space="preserve">59.218 €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18"/>
                <w:szCs w:val="18"/>
              </w:rPr>
              <w:t xml:space="preserve">69.199 €</w:t>
            </w:r>
          </w:p>
        </w:tc>
        <w:tc>
          <w:tcPr>
            <w:tcW w:type="dxa" w:w="19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18"/>
                <w:szCs w:val="18"/>
              </w:rPr>
              <w:t xml:space="preserve">61.184 €</w:t>
            </w:r>
          </w:p>
        </w:tc>
      </w:tr>
      <w:tr>
        <w:trPr>
          <w:cantSplit/>
        </w:trP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18"/>
                <w:szCs w:val="18"/>
              </w:rPr>
              <w:t xml:space="preserve">Divario di reddito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18"/>
                <w:szCs w:val="18"/>
              </w:rPr>
              <w:t xml:space="preserve">54,3%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18"/>
                <w:szCs w:val="18"/>
              </w:rPr>
              <w:t xml:space="preserve">48,2%</w:t>
            </w:r>
          </w:p>
        </w:tc>
        <w:tc>
          <w:tcPr>
            <w:tcW w:type="dxa" w:w="19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18"/>
                <w:szCs w:val="18"/>
              </w:rPr>
              <w:t xml:space="preserve">46,8%</w:t>
            </w:r>
          </w:p>
        </w:tc>
      </w:tr>
      <w:tr>
        <w:trPr>
          <w:cantSplit/>
        </w:trP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18"/>
                <w:szCs w:val="18"/>
              </w:rPr>
              <w:t xml:space="preserve">Divario di volume d’affari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18"/>
                <w:szCs w:val="18"/>
              </w:rPr>
              <w:t xml:space="preserve">57,0%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18"/>
                <w:szCs w:val="18"/>
              </w:rPr>
              <w:t xml:space="preserve">52,2%</w:t>
            </w:r>
          </w:p>
        </w:tc>
        <w:tc>
          <w:tcPr>
            <w:tcW w:type="dxa" w:w="19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18"/>
                <w:szCs w:val="18"/>
              </w:rPr>
              <w:t xml:space="preserve">50,9%</w:t>
            </w:r>
          </w:p>
        </w:tc>
      </w:tr>
      <w:tr>
        <w:trPr>
          <w:cantSplit/>
        </w:trP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18"/>
                <w:szCs w:val="18"/>
              </w:rPr>
              <w:t xml:space="preserve">Divario di reddito anno precedente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18"/>
                <w:szCs w:val="18"/>
              </w:rPr>
              <w:t xml:space="preserve">49,2%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18"/>
                <w:szCs w:val="18"/>
              </w:rPr>
              <w:t xml:space="preserve">47,8%</w:t>
            </w:r>
          </w:p>
        </w:tc>
        <w:tc>
          <w:tcPr>
            <w:tcW w:type="dxa" w:w="19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18"/>
                <w:szCs w:val="18"/>
              </w:rPr>
              <w:t xml:space="preserve">46,2%</w:t>
            </w:r>
          </w:p>
        </w:tc>
      </w:tr>
    </w:tbl>
    <w:p>
      <w:pPr>
        <w:spacing w:after="120" w:line="340"/>
      </w:pPr>
      <w:r>
        <w:rPr>
          <w:rFonts w:ascii="Verdana" w:cs="Verdana" w:eastAsia="Verdana" w:hAnsi="Verdana"/>
          <w:color w:val="4B5563"/>
          <w:sz w:val="18"/>
          <w:szCs w:val="18"/>
        </w:rPr>
        <w:t xml:space="preserve">Fonte: CNPADC, dati comunicati nel 2025 (redditi 2024) e nel 2024 (redditi 2023). Divario = (media uomini − media donne) / media uomini. Esclusi gli iscritti alla Cassa Ragionieri.</w:t>
      </w:r>
    </w:p>
    <w:p>
      <w:pPr>
        <w:spacing w:after="120" w:line="340"/>
      </w:pPr>
      <w:r>
        <w:rPr>
          <w:rFonts w:ascii="Verdana" w:cs="Verdana" w:eastAsia="Verdana" w:hAnsi="Verdana"/>
          <w:color w:val="1F2A37"/>
          <w:sz w:val="22"/>
          <w:szCs w:val="22"/>
        </w:rPr>
        <w:t xml:space="preserve">A Forlì, in un anno, il reddito medio degli uomini è cresciuto dell’11,9% e quello delle donne dello 0,5%. Il divario è salito di 5 punti ed è oggi più alto della media regionale e nazionale.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700"/>
        <w:gridCol w:w="1700"/>
        <w:gridCol w:w="1826"/>
      </w:tblGrid>
      <w:tr>
        <w:trPr>
          <w:tblHeader/>
        </w:trPr>
        <w:tc>
          <w:tcPr>
            <w:tcW w:type="dxa" w:w="3800"/>
            <w:shd w:fill="DCE7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/>
                <w:bCs/>
                <w:color w:val="1F2A37"/>
                <w:sz w:val="18"/>
                <w:szCs w:val="18"/>
              </w:rPr>
              <w:t xml:space="preserve">Reddito donne in % di quello degli uomini</w:t>
            </w:r>
          </w:p>
        </w:tc>
        <w:tc>
          <w:tcPr>
            <w:tcW w:type="dxa" w:w="1700"/>
            <w:shd w:fill="DCE7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/>
                <w:bCs/>
                <w:color w:val="1F2A37"/>
                <w:sz w:val="18"/>
                <w:szCs w:val="18"/>
              </w:rPr>
              <w:t xml:space="preserve">Forlì</w:t>
            </w:r>
          </w:p>
        </w:tc>
        <w:tc>
          <w:tcPr>
            <w:tcW w:type="dxa" w:w="1700"/>
            <w:shd w:fill="DCE7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/>
                <w:bCs/>
                <w:color w:val="1F2A37"/>
                <w:sz w:val="18"/>
                <w:szCs w:val="18"/>
              </w:rPr>
              <w:t xml:space="preserve">Emilia-Romagna</w:t>
            </w:r>
          </w:p>
        </w:tc>
        <w:tc>
          <w:tcPr>
            <w:tcW w:type="dxa" w:w="1826"/>
            <w:shd w:fill="DCE7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/>
                <w:bCs/>
                <w:color w:val="1F2A37"/>
                <w:sz w:val="18"/>
                <w:szCs w:val="18"/>
              </w:rPr>
              <w:t xml:space="preserve">Italia</w:t>
            </w:r>
          </w:p>
        </w:tc>
      </w:tr>
      <w:tr>
        <w:trPr>
          <w:cantSplit/>
        </w:trPr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18"/>
                <w:szCs w:val="18"/>
              </w:rPr>
              <w:t xml:space="preserve">Fino a 30 anni (6 uomini, 13 donne)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18"/>
                <w:szCs w:val="18"/>
              </w:rPr>
              <w:t xml:space="preserve">133%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18"/>
                <w:szCs w:val="18"/>
              </w:rPr>
              <w:t xml:space="preserve">93%</w:t>
            </w:r>
          </w:p>
        </w:tc>
        <w:tc>
          <w:tcPr>
            <w:tcW w:type="dxa" w:w="1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18"/>
                <w:szCs w:val="18"/>
              </w:rPr>
              <w:t xml:space="preserve">90%</w:t>
            </w:r>
          </w:p>
        </w:tc>
      </w:tr>
      <w:tr>
        <w:trPr>
          <w:cantSplit/>
        </w:trPr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18"/>
                <w:szCs w:val="18"/>
              </w:rPr>
              <w:t xml:space="preserve">31-40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18"/>
                <w:szCs w:val="18"/>
              </w:rPr>
              <w:t xml:space="preserve">73%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18"/>
                <w:szCs w:val="18"/>
              </w:rPr>
              <w:t xml:space="preserve">66%</w:t>
            </w:r>
          </w:p>
        </w:tc>
        <w:tc>
          <w:tcPr>
            <w:tcW w:type="dxa" w:w="1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18"/>
                <w:szCs w:val="18"/>
              </w:rPr>
              <w:t xml:space="preserve">69%</w:t>
            </w:r>
          </w:p>
        </w:tc>
      </w:tr>
      <w:tr>
        <w:trPr>
          <w:cantSplit/>
        </w:trPr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18"/>
                <w:szCs w:val="18"/>
              </w:rPr>
              <w:t xml:space="preserve">41-50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18"/>
                <w:szCs w:val="18"/>
              </w:rPr>
              <w:t xml:space="preserve">63%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18"/>
                <w:szCs w:val="18"/>
              </w:rPr>
              <w:t xml:space="preserve">55%</w:t>
            </w:r>
          </w:p>
        </w:tc>
        <w:tc>
          <w:tcPr>
            <w:tcW w:type="dxa" w:w="1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18"/>
                <w:szCs w:val="18"/>
              </w:rPr>
              <w:t xml:space="preserve">57%</w:t>
            </w:r>
          </w:p>
        </w:tc>
      </w:tr>
      <w:tr>
        <w:trPr>
          <w:cantSplit/>
        </w:trPr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18"/>
                <w:szCs w:val="18"/>
              </w:rPr>
              <w:t xml:space="preserve">51-65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18"/>
                <w:szCs w:val="18"/>
              </w:rPr>
              <w:t xml:space="preserve">46%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18"/>
                <w:szCs w:val="18"/>
              </w:rPr>
              <w:t xml:space="preserve">52%</w:t>
            </w:r>
          </w:p>
        </w:tc>
        <w:tc>
          <w:tcPr>
            <w:tcW w:type="dxa" w:w="1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18"/>
                <w:szCs w:val="18"/>
              </w:rPr>
              <w:t xml:space="preserve">52%</w:t>
            </w:r>
          </w:p>
        </w:tc>
      </w:tr>
      <w:tr>
        <w:trPr>
          <w:cantSplit/>
        </w:trPr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18"/>
                <w:szCs w:val="18"/>
              </w:rPr>
              <w:t xml:space="preserve">Oltre 65 (8 donne)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18"/>
                <w:szCs w:val="18"/>
              </w:rPr>
              <w:t xml:space="preserve">49%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18"/>
                <w:szCs w:val="18"/>
              </w:rPr>
              <w:t xml:space="preserve">61%</w:t>
            </w:r>
          </w:p>
        </w:tc>
        <w:tc>
          <w:tcPr>
            <w:tcW w:type="dxa" w:w="1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18"/>
                <w:szCs w:val="18"/>
              </w:rPr>
              <w:t xml:space="preserve">87%</w:t>
            </w:r>
          </w:p>
        </w:tc>
      </w:tr>
    </w:tbl>
    <w:p>
      <w:pPr>
        <w:spacing w:after="120" w:line="340"/>
      </w:pPr>
      <w:r>
        <w:rPr>
          <w:rFonts w:ascii="Verdana" w:cs="Verdana" w:eastAsia="Verdana" w:hAnsi="Verdana"/>
          <w:color w:val="1F2A37"/>
          <w:sz w:val="22"/>
          <w:szCs w:val="22"/>
        </w:rPr>
        <w:t xml:space="preserve">Lettura: fino a 50 anni le professioniste di Forlì stanno meglio che in regione e in Italia. Il divario complessivo così alto dipende soprattutto dalla fascia 51-65, dove si concentrano gli uomini con i redditi più alti, e dal fatto che le donne iscritte sono più giovani. È un messaggio utile e meno scontato di “le donne guadagnano la metà”.</w:t>
      </w:r>
    </w:p>
    <w:p>
      <w:pPr>
        <w:pStyle w:val="Heading2"/>
        <w:keepNext/>
        <w:spacing w:after="120" w:before="280"/>
      </w:pPr>
      <w:r>
        <w:rPr>
          <w:rFonts w:ascii="Verdana" w:cs="Verdana" w:eastAsia="Verdana" w:hAnsi="Verdana"/>
          <w:b/>
          <w:bCs/>
          <w:color w:val="2E5E8C"/>
          <w:sz w:val="25"/>
          <w:szCs w:val="25"/>
        </w:rPr>
        <w:t xml:space="preserve">3.5 Governance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Verdana" w:cs="Verdana" w:eastAsia="Verdana" w:hAnsi="Verdana"/>
          <w:color w:val="1F2A37"/>
          <w:sz w:val="22"/>
          <w:szCs w:val="22"/>
        </w:rPr>
        <w:t xml:space="preserve">Consiglio 2022-2025: 11 componenti, 4 donne (36%), con iscritte al 46%: 10 punti di sotto-rappresentanza. Mancano le cariche per genere.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Verdana" w:cs="Verdana" w:eastAsia="Verdana" w:hAnsi="Verdana"/>
          <w:color w:val="1F2A37"/>
          <w:sz w:val="22"/>
          <w:szCs w:val="22"/>
        </w:rPr>
        <w:t xml:space="preserve">Consiglio 2026-2030: presieduto da una donna, la dott.ssa Sara Pennacchi. Composizione e cariche per genere vanno acquisite. A livello nazionale le Presidenti di Ordine sono passate da 19 a 30 su 132.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Verdana" w:cs="Verdana" w:eastAsia="Verdana" w:hAnsi="Verdana"/>
          <w:color w:val="1F2A37"/>
          <w:sz w:val="22"/>
          <w:szCs w:val="22"/>
        </w:rPr>
        <w:t xml:space="preserve">CPO 2026-2030 (nominato il 23/2/2026): 7 componenti, 5 donne e 2 uomini.</w:t>
      </w:r>
    </w:p>
    <w:p>
      <w:pPr>
        <w:pStyle w:val="Heading1"/>
        <w:pageBreakBefore/>
        <w:spacing w:after="160"/>
      </w:pPr>
      <w:r>
        <w:rPr>
          <w:rFonts w:ascii="Verdana" w:cs="Verdana" w:eastAsia="Verdana" w:hAnsi="Verdana"/>
          <w:b/>
          <w:bCs/>
          <w:color w:val="2E5E8C"/>
          <w:sz w:val="30"/>
          <w:szCs w:val="30"/>
        </w:rPr>
        <w:t xml:space="preserve">4. Cosa fanno gli altri Ordini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4626"/>
        <w:gridCol w:w="1100"/>
      </w:tblGrid>
      <w:tr>
        <w:trPr>
          <w:tblHeader/>
        </w:trPr>
        <w:tc>
          <w:tcPr>
            <w:tcW w:type="dxa" w:w="3300"/>
            <w:shd w:fill="DCE7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/>
                <w:bCs/>
                <w:color w:val="1F2A37"/>
                <w:sz w:val="18"/>
                <w:szCs w:val="18"/>
              </w:rPr>
              <w:t xml:space="preserve">Pratica</w:t>
            </w:r>
          </w:p>
        </w:tc>
        <w:tc>
          <w:tcPr>
            <w:tcW w:type="dxa" w:w="4626"/>
            <w:shd w:fill="DCE7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/>
                <w:bCs/>
                <w:color w:val="1F2A37"/>
                <w:sz w:val="18"/>
                <w:szCs w:val="18"/>
              </w:rPr>
              <w:t xml:space="preserve">Chi la fa già</w:t>
            </w:r>
          </w:p>
        </w:tc>
        <w:tc>
          <w:tcPr>
            <w:tcW w:type="dxa" w:w="1100"/>
            <w:shd w:fill="DCE7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/>
                <w:bCs/>
                <w:color w:val="1F2A37"/>
                <w:sz w:val="18"/>
                <w:szCs w:val="18"/>
              </w:rPr>
              <w:t xml:space="preserve">Forlì</w:t>
            </w:r>
          </w:p>
        </w:tc>
      </w:tr>
      <w:tr>
        <w:trPr>
          <w:cantSplit/>
        </w:trP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18"/>
                <w:szCs w:val="18"/>
              </w:rPr>
              <w:t xml:space="preserve">Incarichi dal Tribunale per genere</w:t>
            </w:r>
          </w:p>
        </w:tc>
        <w:tc>
          <w:tcPr>
            <w:tcW w:type="dxa" w:w="4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18"/>
                <w:szCs w:val="18"/>
              </w:rPr>
              <w:t xml:space="preserve">Reggio Emilia (2020-2025: cancellerie civili, curatori, commissari), Venezia, Parma. Suggerita anche dalle Linee guida</w:t>
            </w:r>
          </w:p>
        </w:tc>
        <w:tc>
          <w:tcPr>
            <w:tcW w:type="dxa" w:w="1100"/>
            <w:shd w:fill="F8E1E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18"/>
                <w:szCs w:val="18"/>
              </w:rPr>
              <w:t xml:space="preserve">✘</w:t>
            </w:r>
          </w:p>
        </w:tc>
      </w:tr>
      <w:tr>
        <w:trPr>
          <w:cantSplit/>
        </w:trP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18"/>
                <w:szCs w:val="18"/>
              </w:rPr>
              <w:t xml:space="preserve">Cariche di sindaco, revisore, amministratore dal Registro imprese</w:t>
            </w:r>
          </w:p>
        </w:tc>
        <w:tc>
          <w:tcPr>
            <w:tcW w:type="dxa" w:w="4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18"/>
                <w:szCs w:val="18"/>
              </w:rPr>
              <w:t xml:space="preserve">Venezia, Padova, Bologna. Suggerita dalle Linee guida</w:t>
            </w:r>
          </w:p>
        </w:tc>
        <w:tc>
          <w:tcPr>
            <w:tcW w:type="dxa" w:w="1100"/>
            <w:shd w:fill="F8E1E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18"/>
                <w:szCs w:val="18"/>
              </w:rPr>
              <w:t xml:space="preserve">✘</w:t>
            </w:r>
          </w:p>
        </w:tc>
      </w:tr>
      <w:tr>
        <w:trPr>
          <w:cantSplit/>
        </w:trP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18"/>
                <w:szCs w:val="18"/>
              </w:rPr>
              <w:t xml:space="preserve">Iscrizioni e cancellazioni per genere</w:t>
            </w:r>
          </w:p>
        </w:tc>
        <w:tc>
          <w:tcPr>
            <w:tcW w:type="dxa" w:w="4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18"/>
                <w:szCs w:val="18"/>
              </w:rPr>
              <w:t xml:space="preserve">Consiglio Nazionale, Modena, Bologna, Roma</w:t>
            </w:r>
          </w:p>
        </w:tc>
        <w:tc>
          <w:tcPr>
            <w:tcW w:type="dxa" w:w="1100"/>
            <w:shd w:fill="F8E1E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18"/>
                <w:szCs w:val="18"/>
              </w:rPr>
              <w:t xml:space="preserve">✘</w:t>
            </w:r>
          </w:p>
        </w:tc>
      </w:tr>
      <w:tr>
        <w:trPr>
          <w:cantSplit/>
        </w:trP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18"/>
                <w:szCs w:val="18"/>
              </w:rPr>
              <w:t xml:space="preserve">Dati Cassa provinciali per età</w:t>
            </w:r>
          </w:p>
        </w:tc>
        <w:tc>
          <w:tcPr>
            <w:tcW w:type="dxa" w:w="4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18"/>
                <w:szCs w:val="18"/>
              </w:rPr>
              <w:t xml:space="preserve">Modena, Venezia, Bologna (anche pensionati), Ancona, Matera</w:t>
            </w:r>
          </w:p>
        </w:tc>
        <w:tc>
          <w:tcPr>
            <w:tcW w:type="dxa" w:w="1100"/>
            <w:shd w:fill="F8E1E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18"/>
                <w:szCs w:val="18"/>
              </w:rPr>
              <w:t xml:space="preserve">✘</w:t>
            </w:r>
          </w:p>
        </w:tc>
      </w:tr>
      <w:tr>
        <w:trPr>
          <w:cantSplit/>
        </w:trP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18"/>
                <w:szCs w:val="18"/>
              </w:rPr>
              <w:t xml:space="preserve">Pensioni e indennità di maternità per genere</w:t>
            </w:r>
          </w:p>
        </w:tc>
        <w:tc>
          <w:tcPr>
            <w:tcW w:type="dxa" w:w="4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18"/>
                <w:szCs w:val="18"/>
              </w:rPr>
              <w:t xml:space="preserve">Genova (slide), Bologna</w:t>
            </w:r>
          </w:p>
        </w:tc>
        <w:tc>
          <w:tcPr>
            <w:tcW w:type="dxa" w:w="1100"/>
            <w:shd w:fill="F8E1E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18"/>
                <w:szCs w:val="18"/>
              </w:rPr>
              <w:t xml:space="preserve">✘</w:t>
            </w:r>
          </w:p>
        </w:tc>
      </w:tr>
      <w:tr>
        <w:trPr>
          <w:cantSplit/>
        </w:trP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18"/>
                <w:szCs w:val="18"/>
              </w:rPr>
              <w:t xml:space="preserve">Relatrici e relatori degli eventi formativi</w:t>
            </w:r>
          </w:p>
        </w:tc>
        <w:tc>
          <w:tcPr>
            <w:tcW w:type="dxa" w:w="4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18"/>
                <w:szCs w:val="18"/>
              </w:rPr>
              <w:t xml:space="preserve">Padova (profilazione eventi); Bari e Firenze (monitoraggio panel)</w:t>
            </w:r>
          </w:p>
        </w:tc>
        <w:tc>
          <w:tcPr>
            <w:tcW w:type="dxa" w:w="1100"/>
            <w:shd w:fill="F8E1E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18"/>
                <w:szCs w:val="18"/>
              </w:rPr>
              <w:t xml:space="preserve">✘</w:t>
            </w:r>
          </w:p>
        </w:tc>
      </w:tr>
      <w:tr>
        <w:trPr>
          <w:cantSplit/>
        </w:trP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18"/>
                <w:szCs w:val="18"/>
              </w:rPr>
              <w:t xml:space="preserve">Questionario proprio</w:t>
            </w:r>
          </w:p>
        </w:tc>
        <w:tc>
          <w:tcPr>
            <w:tcW w:type="dxa" w:w="4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18"/>
                <w:szCs w:val="18"/>
              </w:rPr>
              <w:t xml:space="preserve">Padova, Venezia, Genova (tra più Ordini), Consiglio Nazionale</w:t>
            </w:r>
          </w:p>
        </w:tc>
        <w:tc>
          <w:tcPr>
            <w:tcW w:type="dxa" w:w="1100"/>
            <w:shd w:fill="FB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18"/>
                <w:szCs w:val="18"/>
              </w:rPr>
              <w:t xml:space="preserve">◐ (2023: SAF-ER)</w:t>
            </w:r>
          </w:p>
        </w:tc>
      </w:tr>
      <w:tr>
        <w:trPr>
          <w:cantSplit/>
        </w:trP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18"/>
                <w:szCs w:val="18"/>
              </w:rPr>
              <w:t xml:space="preserve">Consiglio di disciplina e revisori per genere</w:t>
            </w:r>
          </w:p>
        </w:tc>
        <w:tc>
          <w:tcPr>
            <w:tcW w:type="dxa" w:w="4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18"/>
                <w:szCs w:val="18"/>
              </w:rPr>
              <w:t xml:space="preserve">Reggio Emilia, Venezia</w:t>
            </w:r>
          </w:p>
        </w:tc>
        <w:tc>
          <w:tcPr>
            <w:tcW w:type="dxa" w:w="1100"/>
            <w:shd w:fill="F8E1E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18"/>
                <w:szCs w:val="18"/>
              </w:rPr>
              <w:t xml:space="preserve">✘</w:t>
            </w:r>
          </w:p>
        </w:tc>
      </w:tr>
      <w:tr>
        <w:trPr>
          <w:cantSplit/>
        </w:trP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18"/>
                <w:szCs w:val="18"/>
              </w:rPr>
              <w:t xml:space="preserve">Personale dipendente e incarichi conferiti dall’Ordine</w:t>
            </w:r>
          </w:p>
        </w:tc>
        <w:tc>
          <w:tcPr>
            <w:tcW w:type="dxa" w:w="4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18"/>
                <w:szCs w:val="18"/>
              </w:rPr>
              <w:t xml:space="preserve">Roma 2025 (dentro il bilancio di sostenibilità)</w:t>
            </w:r>
          </w:p>
        </w:tc>
        <w:tc>
          <w:tcPr>
            <w:tcW w:type="dxa" w:w="1100"/>
            <w:shd w:fill="F8E1E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18"/>
                <w:szCs w:val="18"/>
              </w:rPr>
              <w:t xml:space="preserve">✘</w:t>
            </w:r>
          </w:p>
        </w:tc>
      </w:tr>
      <w:tr>
        <w:trPr>
          <w:cantSplit/>
        </w:trP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18"/>
                <w:szCs w:val="18"/>
              </w:rPr>
              <w:t xml:space="preserve">Intelligenza artificiale e pari opportunità</w:t>
            </w:r>
          </w:p>
        </w:tc>
        <w:tc>
          <w:tcPr>
            <w:tcW w:type="dxa" w:w="4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18"/>
                <w:szCs w:val="18"/>
              </w:rPr>
              <w:t xml:space="preserve">Bari, Trani</w:t>
            </w:r>
          </w:p>
        </w:tc>
        <w:tc>
          <w:tcPr>
            <w:tcW w:type="dxa" w:w="1100"/>
            <w:shd w:fill="F8E1E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18"/>
                <w:szCs w:val="18"/>
              </w:rPr>
              <w:t xml:space="preserve">✘</w:t>
            </w:r>
          </w:p>
        </w:tc>
      </w:tr>
      <w:tr>
        <w:trPr>
          <w:cantSplit/>
        </w:trP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18"/>
                <w:szCs w:val="18"/>
              </w:rPr>
              <w:t xml:space="preserve">Carta etica, “no woman no panel”</w:t>
            </w:r>
          </w:p>
        </w:tc>
        <w:tc>
          <w:tcPr>
            <w:tcW w:type="dxa" w:w="4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18"/>
                <w:szCs w:val="18"/>
              </w:rPr>
              <w:t xml:space="preserve">Firenze, Reggio Emilia</w:t>
            </w:r>
          </w:p>
        </w:tc>
        <w:tc>
          <w:tcPr>
            <w:tcW w:type="dxa" w:w="1100"/>
            <w:shd w:fill="F8E1E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18"/>
                <w:szCs w:val="18"/>
              </w:rPr>
              <w:t xml:space="preserve">✘</w:t>
            </w:r>
          </w:p>
        </w:tc>
      </w:tr>
      <w:tr>
        <w:trPr>
          <w:cantSplit/>
        </w:trP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18"/>
                <w:szCs w:val="18"/>
              </w:rPr>
              <w:t xml:space="preserve">Sportello di ascolto, Banca del tempo</w:t>
            </w:r>
          </w:p>
        </w:tc>
        <w:tc>
          <w:tcPr>
            <w:tcW w:type="dxa" w:w="4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18"/>
                <w:szCs w:val="18"/>
              </w:rPr>
              <w:t xml:space="preserve">Firenze, Bari, Trani</w:t>
            </w:r>
          </w:p>
        </w:tc>
        <w:tc>
          <w:tcPr>
            <w:tcW w:type="dxa" w:w="1100"/>
            <w:shd w:fill="F8E1E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18"/>
                <w:szCs w:val="18"/>
              </w:rPr>
              <w:t xml:space="preserve">✘</w:t>
            </w:r>
          </w:p>
        </w:tc>
      </w:tr>
      <w:tr>
        <w:trPr>
          <w:cantSplit/>
        </w:trP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18"/>
                <w:szCs w:val="18"/>
              </w:rPr>
              <w:t xml:space="preserve">Evento su pari opportunità e DSA</w:t>
            </w:r>
          </w:p>
        </w:tc>
        <w:tc>
          <w:tcPr>
            <w:tcW w:type="dxa" w:w="4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18"/>
                <w:szCs w:val="18"/>
              </w:rPr>
              <w:t xml:space="preserve">Firenze (19/3/2025)</w:t>
            </w:r>
          </w:p>
        </w:tc>
        <w:tc>
          <w:tcPr>
            <w:tcW w:type="dxa" w:w="1100"/>
            <w:shd w:fill="F8E1E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18"/>
                <w:szCs w:val="18"/>
              </w:rPr>
              <w:t xml:space="preserve">✘</w:t>
            </w:r>
          </w:p>
        </w:tc>
      </w:tr>
    </w:tbl>
    <w:p>
      <w:pPr>
        <w:pStyle w:val="Heading1"/>
        <w:pageBreakBefore/>
        <w:spacing w:after="160"/>
      </w:pPr>
      <w:r>
        <w:rPr>
          <w:rFonts w:ascii="Verdana" w:cs="Verdana" w:eastAsia="Verdana" w:hAnsi="Verdana"/>
          <w:b/>
          <w:bCs/>
          <w:color w:val="2E5E8C"/>
          <w:sz w:val="30"/>
          <w:szCs w:val="30"/>
        </w:rPr>
        <w:t xml:space="preserve">5. Cosa non ha fatto ancora nessuno</w:t>
      </w:r>
    </w:p>
    <w:p>
      <w:pPr>
        <w:spacing w:after="120" w:line="340"/>
      </w:pPr>
      <w:r>
        <w:rPr>
          <w:rFonts w:ascii="Verdana" w:cs="Verdana" w:eastAsia="Verdana" w:hAnsi="Verdana"/>
          <w:color w:val="1F2A37"/>
          <w:sz w:val="22"/>
          <w:szCs w:val="22"/>
        </w:rPr>
        <w:t xml:space="preserve">Verificato su tutti i 17 bilanci della cartella. Questi elementi non compaiono in nessuno: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26"/>
      </w:tblGrid>
      <w:tr>
        <w:trPr>
          <w:tblHeader/>
        </w:trPr>
        <w:tc>
          <w:tcPr>
            <w:tcW w:type="dxa" w:w="4500"/>
            <w:shd w:fill="DCE7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/>
                <w:bCs/>
                <w:color w:val="1F2A37"/>
                <w:sz w:val="18"/>
                <w:szCs w:val="18"/>
              </w:rPr>
              <w:t xml:space="preserve">Proposta per Forlì</w:t>
            </w:r>
          </w:p>
        </w:tc>
        <w:tc>
          <w:tcPr>
            <w:tcW w:type="dxa" w:w="4526"/>
            <w:shd w:fill="DCE7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/>
                <w:bCs/>
                <w:color w:val="1F2A37"/>
                <w:sz w:val="18"/>
                <w:szCs w:val="18"/>
              </w:rPr>
              <w:t xml:space="preserve">Perché è nuova</w:t>
            </w:r>
          </w:p>
        </w:tc>
      </w:tr>
      <w:tr>
        <w:trPr>
          <w:cantSplit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18"/>
                <w:szCs w:val="18"/>
              </w:rPr>
              <w:t xml:space="preserve">Obiettivi numerici con verifica l’anno dopo (semaforo verde, giallo, rosso)</w:t>
            </w:r>
          </w:p>
        </w:tc>
        <w:tc>
          <w:tcPr>
            <w:tcW w:type="dxa" w:w="45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18"/>
                <w:szCs w:val="18"/>
              </w:rPr>
              <w:t xml:space="preserve">Tutti elencano attività, nessuno misura risultati rispetto a un obiettivo</w:t>
            </w:r>
          </w:p>
        </w:tc>
      </w:tr>
      <w:tr>
        <w:trPr>
          <w:cantSplit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18"/>
                <w:szCs w:val="18"/>
              </w:rPr>
              <w:t xml:space="preserve">Riclassificazione delle spese dell’Ordine: neutre, sensibili, dirette a ridurre le diseguaglianze</w:t>
            </w:r>
          </w:p>
        </w:tc>
        <w:tc>
          <w:tcPr>
            <w:tcW w:type="dxa" w:w="45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18"/>
                <w:szCs w:val="18"/>
              </w:rPr>
              <w:t xml:space="preserve">È il cuore del “gender budget” nella definizione del Consiglio d’Europa ripresa dalle Linee guida, ma nessuno la applica</w:t>
            </w:r>
          </w:p>
        </w:tc>
      </w:tr>
      <w:tr>
        <w:trPr>
          <w:cantSplit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18"/>
                <w:szCs w:val="18"/>
              </w:rPr>
              <w:t xml:space="preserve">Bilancio accessibile: sintesi facile da leggere, PDF leggibile dalla sintesi vocale, versione audio</w:t>
            </w:r>
          </w:p>
        </w:tc>
        <w:tc>
          <w:tcPr>
            <w:tcW w:type="dxa" w:w="45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18"/>
                <w:szCs w:val="18"/>
              </w:rPr>
              <w:t xml:space="preserve">Nessun bilancio è pensato per chi ha un DSA; quello di Nola è solo immagini</w:t>
            </w:r>
          </w:p>
        </w:tc>
      </w:tr>
      <w:tr>
        <w:trPr>
          <w:cantSplit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18"/>
                <w:szCs w:val="18"/>
              </w:rPr>
              <w:t xml:space="preserve">Dati su DSA e inclusione raccolti con il questionario</w:t>
            </w:r>
          </w:p>
        </w:tc>
        <w:tc>
          <w:tcPr>
            <w:tcW w:type="dxa" w:w="45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18"/>
                <w:szCs w:val="18"/>
              </w:rPr>
              <w:t xml:space="preserve">Firenze ha fatto un evento, nessuno ha dati</w:t>
            </w:r>
          </w:p>
        </w:tc>
      </w:tr>
      <w:tr>
        <w:trPr>
          <w:cantSplit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18"/>
                <w:szCs w:val="18"/>
              </w:rPr>
              <w:t xml:space="preserve">Scomposizione del divario tra età e condizioni reali (il caso Forlì 51-65)</w:t>
            </w:r>
          </w:p>
        </w:tc>
        <w:tc>
          <w:tcPr>
            <w:tcW w:type="dxa" w:w="45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18"/>
                <w:szCs w:val="18"/>
              </w:rPr>
              <w:t xml:space="preserve">Tutti riportano il divario medio; nessuno distingue quanto dipende dall’età degli iscritti</w:t>
            </w:r>
          </w:p>
        </w:tc>
      </w:tr>
      <w:tr>
        <w:trPr>
          <w:cantSplit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18"/>
                <w:szCs w:val="18"/>
              </w:rPr>
              <w:t xml:space="preserve">Proiezione dell’Albo al 2035 e ricambio generazionale con lente di genere</w:t>
            </w:r>
          </w:p>
        </w:tc>
        <w:tc>
          <w:tcPr>
            <w:tcW w:type="dxa" w:w="45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18"/>
                <w:szCs w:val="18"/>
              </w:rPr>
              <w:t xml:space="preserve">I dati di Forlì mostrano donne in maggioranza sotto i 56 anni</w:t>
            </w:r>
          </w:p>
        </w:tc>
      </w:tr>
      <w:tr>
        <w:trPr>
          <w:cantSplit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18"/>
                <w:szCs w:val="18"/>
              </w:rPr>
              <w:t xml:space="preserve">Valore economico degli incarichi, non solo il numero</w:t>
            </w:r>
          </w:p>
        </w:tc>
        <w:tc>
          <w:tcPr>
            <w:tcW w:type="dxa" w:w="45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18"/>
                <w:szCs w:val="18"/>
              </w:rPr>
              <w:t xml:space="preserve">Reggio Emilia e Venezia contano gli incarichi, non il loro valore</w:t>
            </w:r>
          </w:p>
        </w:tc>
      </w:tr>
      <w:tr>
        <w:trPr>
          <w:cantSplit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18"/>
                <w:szCs w:val="18"/>
              </w:rPr>
              <w:t xml:space="preserve">Indicatori ordinati sui 6 ambiti UNI/PdR 125, come pre-valutazione per il progetto regionale</w:t>
            </w:r>
          </w:p>
        </w:tc>
        <w:tc>
          <w:tcPr>
            <w:tcW w:type="dxa" w:w="45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18"/>
                <w:szCs w:val="18"/>
              </w:rPr>
              <w:t xml:space="preserve">Coerente con la proposta “ODCEC Emilia-Romagna verso la UNI/PdR 125”</w:t>
            </w:r>
          </w:p>
        </w:tc>
      </w:tr>
      <w:tr>
        <w:trPr>
          <w:cantSplit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18"/>
                <w:szCs w:val="18"/>
              </w:rPr>
              <w:t xml:space="preserve">Modello comune per i 10 Ordini dell’Emilia-Romagna</w:t>
            </w:r>
          </w:p>
        </w:tc>
        <w:tc>
          <w:tcPr>
            <w:tcW w:type="dxa" w:w="45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18"/>
                <w:szCs w:val="18"/>
              </w:rPr>
              <w:t xml:space="preserve">I CPO toscani lo hanno proposto al nazionale; in Emilia-Romagna ognuno usa uno schema diverso</w:t>
            </w:r>
          </w:p>
        </w:tc>
      </w:tr>
    </w:tbl>
    <w:p>
      <w:pPr>
        <w:pStyle w:val="Heading1"/>
        <w:pageBreakBefore/>
        <w:spacing w:after="160"/>
      </w:pPr>
      <w:r>
        <w:rPr>
          <w:rFonts w:ascii="Verdana" w:cs="Verdana" w:eastAsia="Verdana" w:hAnsi="Verdana"/>
          <w:b/>
          <w:bCs/>
          <w:color w:val="2E5E8C"/>
          <w:sz w:val="30"/>
          <w:szCs w:val="30"/>
        </w:rPr>
        <w:t xml:space="preserve">6. Cosa chiedere, a chi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2300"/>
        <w:gridCol w:w="2826"/>
      </w:tblGrid>
      <w:tr>
        <w:trPr>
          <w:tblHeader/>
        </w:trPr>
        <w:tc>
          <w:tcPr>
            <w:tcW w:type="dxa" w:w="3900"/>
            <w:shd w:fill="DCE7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/>
                <w:bCs/>
                <w:color w:val="1F2A37"/>
                <w:sz w:val="18"/>
                <w:szCs w:val="18"/>
              </w:rPr>
              <w:t xml:space="preserve">Dato</w:t>
            </w:r>
          </w:p>
        </w:tc>
        <w:tc>
          <w:tcPr>
            <w:tcW w:type="dxa" w:w="2300"/>
            <w:shd w:fill="DCE7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/>
                <w:bCs/>
                <w:color w:val="1F2A37"/>
                <w:sz w:val="18"/>
                <w:szCs w:val="18"/>
              </w:rPr>
              <w:t xml:space="preserve">A chi</w:t>
            </w:r>
          </w:p>
        </w:tc>
        <w:tc>
          <w:tcPr>
            <w:tcW w:type="dxa" w:w="2826"/>
            <w:shd w:fill="DCE7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/>
                <w:bCs/>
                <w:color w:val="1F2A37"/>
                <w:sz w:val="18"/>
                <w:szCs w:val="18"/>
              </w:rPr>
              <w:t xml:space="preserve">Uso nel bilancio</w:t>
            </w:r>
          </w:p>
        </w:tc>
      </w:tr>
      <w:tr>
        <w:trPr>
          <w:cantSplit/>
        </w:trPr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18"/>
                <w:szCs w:val="18"/>
              </w:rPr>
              <w:t xml:space="preserve">Iscrizioni e cancellazioni 2021-2025 per genere, età e motivo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18"/>
                <w:szCs w:val="18"/>
              </w:rPr>
              <w:t xml:space="preserve">Segreteria Ordine</w:t>
            </w:r>
          </w:p>
        </w:tc>
        <w:tc>
          <w:tcPr>
            <w:tcW w:type="dxa" w:w="2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18"/>
                <w:szCs w:val="18"/>
              </w:rPr>
              <w:t xml:space="preserve">Flussi e “tubatura che perde”</w:t>
            </w:r>
          </w:p>
        </w:tc>
      </w:tr>
      <w:tr>
        <w:trPr>
          <w:cantSplit/>
        </w:trPr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18"/>
                <w:szCs w:val="18"/>
              </w:rPr>
              <w:t xml:space="preserve">Serie iscritti per genere e sezione 2021-2025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18"/>
                <w:szCs w:val="18"/>
              </w:rPr>
              <w:t xml:space="preserve">Segreteria Ordine</w:t>
            </w:r>
          </w:p>
        </w:tc>
        <w:tc>
          <w:tcPr>
            <w:tcW w:type="dxa" w:w="2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18"/>
                <w:szCs w:val="18"/>
              </w:rPr>
              <w:t xml:space="preserve">Serie storica minima di 5 anni</w:t>
            </w:r>
          </w:p>
        </w:tc>
      </w:tr>
      <w:tr>
        <w:trPr>
          <w:cantSplit/>
        </w:trPr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18"/>
                <w:szCs w:val="18"/>
              </w:rPr>
              <w:t xml:space="preserve">Consiglio, cariche, commissioni, Consiglio di disciplina, revisori: 2017-2021, 2022-2025, 2026-2030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18"/>
                <w:szCs w:val="18"/>
              </w:rPr>
              <w:t xml:space="preserve">Segreteria Ordine</w:t>
            </w:r>
          </w:p>
        </w:tc>
        <w:tc>
          <w:tcPr>
            <w:tcW w:type="dxa" w:w="2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18"/>
                <w:szCs w:val="18"/>
              </w:rPr>
              <w:t xml:space="preserve">Governance e confronto tra consigliature</w:t>
            </w:r>
          </w:p>
        </w:tc>
      </w:tr>
      <w:tr>
        <w:trPr>
          <w:cantSplit/>
        </w:trPr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18"/>
                <w:szCs w:val="18"/>
              </w:rPr>
              <w:t xml:space="preserve">Budget del CPO e personale assegnato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18"/>
                <w:szCs w:val="18"/>
              </w:rPr>
              <w:t xml:space="preserve">Consiglio</w:t>
            </w:r>
          </w:p>
        </w:tc>
        <w:tc>
          <w:tcPr>
            <w:tcW w:type="dxa" w:w="2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18"/>
                <w:szCs w:val="18"/>
              </w:rPr>
              <w:t xml:space="preserve">Paragrafo obbligatorio</w:t>
            </w:r>
          </w:p>
        </w:tc>
      </w:tr>
      <w:tr>
        <w:trPr>
          <w:cantSplit/>
        </w:trPr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18"/>
                <w:szCs w:val="18"/>
              </w:rPr>
              <w:t xml:space="preserve">Eventi formativi 2025 con genere di relatrici e relatori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18"/>
                <w:szCs w:val="18"/>
              </w:rPr>
              <w:t xml:space="preserve">Ordine / Fondazione</w:t>
            </w:r>
          </w:p>
        </w:tc>
        <w:tc>
          <w:tcPr>
            <w:tcW w:type="dxa" w:w="2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18"/>
                <w:szCs w:val="18"/>
              </w:rPr>
              <w:t xml:space="preserve">Panel e “no woman no panel”</w:t>
            </w:r>
          </w:p>
        </w:tc>
      </w:tr>
      <w:tr>
        <w:trPr>
          <w:cantSplit/>
        </w:trPr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18"/>
                <w:szCs w:val="18"/>
              </w:rPr>
              <w:t xml:space="preserve">Dati Cassa Ragionieri per Forlì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18"/>
                <w:szCs w:val="18"/>
              </w:rPr>
              <w:t xml:space="preserve">CNPR</w:t>
            </w:r>
          </w:p>
        </w:tc>
        <w:tc>
          <w:tcPr>
            <w:tcW w:type="dxa" w:w="2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18"/>
                <w:szCs w:val="18"/>
              </w:rPr>
              <w:t xml:space="preserve">Divario di reddito completo</w:t>
            </w:r>
          </w:p>
        </w:tc>
      </w:tr>
      <w:tr>
        <w:trPr>
          <w:cantSplit/>
        </w:trPr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18"/>
                <w:szCs w:val="18"/>
              </w:rPr>
              <w:t xml:space="preserve">Pensioni medie e indennità di maternità e paternità per genere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18"/>
                <w:szCs w:val="18"/>
              </w:rPr>
              <w:t xml:space="preserve">CNPADC, CNPR</w:t>
            </w:r>
          </w:p>
        </w:tc>
        <w:tc>
          <w:tcPr>
            <w:tcW w:type="dxa" w:w="2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18"/>
                <w:szCs w:val="18"/>
              </w:rPr>
              <w:t xml:space="preserve">Genitorialità e pensioni</w:t>
            </w:r>
          </w:p>
        </w:tc>
      </w:tr>
      <w:tr>
        <w:trPr>
          <w:cantSplit/>
        </w:trPr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18"/>
                <w:szCs w:val="18"/>
              </w:rPr>
              <w:t xml:space="preserve">Incarichi 2021-2025 per genere e valore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18"/>
                <w:szCs w:val="18"/>
              </w:rPr>
              <w:t xml:space="preserve">Tribunale di Forlì, OCC</w:t>
            </w:r>
          </w:p>
        </w:tc>
        <w:tc>
          <w:tcPr>
            <w:tcW w:type="dxa" w:w="2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18"/>
                <w:szCs w:val="18"/>
              </w:rPr>
              <w:t xml:space="preserve">Incarichi giudiziali</w:t>
            </w:r>
          </w:p>
        </w:tc>
      </w:tr>
      <w:tr>
        <w:trPr>
          <w:cantSplit/>
        </w:trPr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18"/>
                <w:szCs w:val="18"/>
              </w:rPr>
              <w:t xml:space="preserve">Sindaci, revisori, amministratori iscritti a Forlì, per genere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18"/>
                <w:szCs w:val="18"/>
              </w:rPr>
              <w:t xml:space="preserve">Camera di Commercio della Romagna</w:t>
            </w:r>
          </w:p>
        </w:tc>
        <w:tc>
          <w:tcPr>
            <w:tcW w:type="dxa" w:w="2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18"/>
                <w:szCs w:val="18"/>
              </w:rPr>
              <w:t xml:space="preserve">Cariche societarie</w:t>
            </w:r>
          </w:p>
        </w:tc>
      </w:tr>
      <w:tr>
        <w:trPr>
          <w:cantSplit/>
        </w:trPr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18"/>
                <w:szCs w:val="18"/>
              </w:rPr>
              <w:t xml:space="preserve">Spese dell’Ordine per capitolo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18"/>
                <w:szCs w:val="18"/>
              </w:rPr>
              <w:t xml:space="preserve">Tesoriere</w:t>
            </w:r>
          </w:p>
        </w:tc>
        <w:tc>
          <w:tcPr>
            <w:tcW w:type="dxa" w:w="2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18"/>
                <w:szCs w:val="18"/>
              </w:rPr>
              <w:t xml:space="preserve">Riclassificazione di genere</w:t>
            </w:r>
          </w:p>
        </w:tc>
      </w:tr>
    </w:tbl>
    <w:p>
      <w:pPr>
        <w:pStyle w:val="Heading2"/>
        <w:keepNext/>
        <w:spacing w:after="120" w:before="280"/>
      </w:pPr>
      <w:r>
        <w:rPr>
          <w:rFonts w:ascii="Verdana" w:cs="Verdana" w:eastAsia="Verdana" w:hAnsi="Verdana"/>
          <w:b/>
          <w:bCs/>
          <w:color w:val="2E5E8C"/>
          <w:sz w:val="25"/>
          <w:szCs w:val="25"/>
        </w:rPr>
        <w:t xml:space="preserve">Prossimi passi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Verdana" w:cs="Verdana" w:eastAsia="Verdana" w:hAnsi="Verdana"/>
          <w:color w:val="1F2A37"/>
          <w:sz w:val="22"/>
          <w:szCs w:val="22"/>
        </w:rPr>
        <w:t xml:space="preserve">Decidere se il bilancio 2025 correggerà anche i dati 2024 (divario di Forlì, praticanti per genere) in una nota di raccordo.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Verdana" w:cs="Verdana" w:eastAsia="Verdana" w:hAnsi="Verdana"/>
          <w:color w:val="1F2A37"/>
          <w:sz w:val="22"/>
          <w:szCs w:val="22"/>
        </w:rPr>
        <w:t xml:space="preserve">Inviare le richieste della tabella qui sopra entro ottobre.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Verdana" w:cs="Verdana" w:eastAsia="Verdana" w:hAnsi="Verdana"/>
          <w:color w:val="1F2A37"/>
          <w:sz w:val="22"/>
          <w:szCs w:val="22"/>
        </w:rPr>
        <w:t xml:space="preserve">Lanciare il questionario breve: i risultati coprono le parti su conciliazione, DSA e inclusione.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Verdana" w:cs="Verdana" w:eastAsia="Verdana" w:hAnsi="Verdana"/>
          <w:color w:val="1F2A37"/>
          <w:sz w:val="22"/>
          <w:szCs w:val="22"/>
        </w:rPr>
        <w:t xml:space="preserve">Preparare lo schema del bilancio 2025 con le parti obbligatorie e le nuove.</w:t>
      </w:r>
    </w:p>
    <w:sectPr>
      <w:footerReference w:type="default" r:id="rId7"/>
      <w:pgSz w:w="11906" w:h="16838" w:orient="portrait"/>
      <w:pgMar w:top="1200" w:right="1300" w:bottom="12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Verdana" w:cs="Verdana" w:eastAsia="Verdana" w:hAnsi="Verdana"/>
        <w:color w:val="4B5563"/>
        <w:sz w:val="16"/>
        <w:szCs w:val="16"/>
      </w:rPr>
      <w:t xml:space="preserve">Pagina </w:t>
    </w:r>
    <w:r>
      <w:rPr>
        <w:rFonts w:ascii="Verdana" w:cs="Verdana" w:eastAsia="Verdana" w:hAnsi="Verdana"/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Verdana" w:cs="Verdana" w:eastAsia="Verdana" w:hAnsi="Verdana"/>
        <w:color w:val="1F2A3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Check-up Bilancio di genere ODCEC Forlì</dc:title>
  <dc:creator>CPO ODCEC Forlì</dc:creator>
  <cp:lastModifiedBy>Un-named</cp:lastModifiedBy>
  <cp:revision>1</cp:revision>
  <dcterms:created xsi:type="dcterms:W3CDTF">2026-09-28T07:07:28.087Z</dcterms:created>
  <dcterms:modified xsi:type="dcterms:W3CDTF">2026-09-28T07:07:28.097Z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