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5"/>
  <w:body>
    <w:p>
      <w:pPr>
        <w:spacing w:after="140" w:line="360"/>
      </w:pPr>
      <w:r>
        <w:rPr>
          <w:rFonts w:ascii="Verdana" w:cs="Verdana" w:eastAsia="Verdana" w:hAnsi="Verdana"/>
          <w:color w:val="4B5563"/>
          <w:sz w:val="22"/>
          <w:szCs w:val="22"/>
        </w:rPr>
        <w:t xml:space="preserve">Ordine dei Dottori Commercialisti e degli Esperti Contabili di Forlì</w:t>
      </w:r>
    </w:p>
    <w:p>
      <w:pPr>
        <w:pStyle w:val="Title"/>
        <w:spacing w:after="200" w:before="1800"/>
      </w:pPr>
      <w:r>
        <w:rPr>
          <w:rFonts w:ascii="Verdana" w:cs="Verdana" w:eastAsia="Verdana" w:hAnsi="Verdana"/>
          <w:b/>
          <w:bCs/>
          <w:color w:val="2E5E8C"/>
          <w:sz w:val="56"/>
          <w:szCs w:val="56"/>
        </w:rPr>
        <w:t xml:space="preserve">Bilancio di genere 2025</w:t>
      </w:r>
    </w:p>
    <w:p>
      <w:pPr>
        <w:spacing w:after="140" w:line="360"/>
      </w:pPr>
      <w:r>
        <w:rPr>
          <w:rFonts w:ascii="Verdana" w:cs="Verdana" w:eastAsia="Verdana" w:hAnsi="Verdana"/>
          <w:color w:val="1F2A37"/>
          <w:sz w:val="26"/>
          <w:szCs w:val="26"/>
        </w:rPr>
        <w:t xml:space="preserve">A cura del Comitato Pari Opportunità</w:t>
      </w:r>
    </w:p>
    <w:p>
      <w:pPr>
        <w:spacing w:after="140" w:line="360"/>
      </w:pPr>
      <w:r>
        <w:rPr>
          <w:rFonts w:ascii="Verdana" w:cs="Verdana" w:eastAsia="Verdana" w:hAnsi="Verdana"/>
          <w:color w:val="4B5563"/>
          <w:sz w:val="22"/>
          <w:szCs w:val="22"/>
        </w:rPr>
        <w:t xml:space="preserve">Assemblea degli iscritti – Cesena, 26 novembre 2026</w:t>
      </w:r>
    </w:p>
    <w:p>
      <w:pPr>
        <w:spacing w:after="140" w:before="1200" w:line="360"/>
      </w:pPr>
      <w:r>
        <w:rPr>
          <w:rFonts w:ascii="Verdana" w:cs="Verdana" w:eastAsia="Verdana" w:hAnsi="Verdana"/>
          <w:b/>
          <w:bCs/>
          <w:color w:val="1F2A37"/>
          <w:sz w:val="22"/>
          <w:szCs w:val="22"/>
        </w:rPr>
        <w:t xml:space="preserve">BOZZA DI LAVORO del 6 ottobre 2026. </w:t>
      </w:r>
      <w:r>
        <w:rPr>
          <w:rFonts w:ascii="Verdana" w:cs="Verdana" w:eastAsia="Verdana" w:hAnsi="Verdana"/>
          <w:color w:val="1F2A37"/>
          <w:sz w:val="22"/>
          <w:szCs w:val="22"/>
        </w:rPr>
        <w:t xml:space="preserve">Le parti evidenziate in giallo aspettano i dati richiesti al Consiglio il 2/10/2026 (scadenza 31 ottobre) o il questionario agli iscritti.</w:t>
      </w:r>
    </w:p>
    <w:p>
      <w:pPr>
        <w:pStyle w:val="Heading2"/>
        <w:keepNext/>
        <w:spacing w:after="140" w:before="300"/>
      </w:pPr>
      <w:r>
        <w:rPr>
          <w:rFonts w:ascii="Verdana" w:cs="Verdana" w:eastAsia="Verdana" w:hAnsi="Verdana"/>
          <w:b/>
          <w:bCs/>
          <w:color w:val="2E5E8C"/>
          <w:sz w:val="25"/>
          <w:szCs w:val="25"/>
        </w:rPr>
        <w:t xml:space="preserve">Come leggere questo documento</w:t>
      </w:r>
    </w:p>
    <w:p>
      <w:pPr>
        <w:spacing w:after="140" w:line="360"/>
      </w:pPr>
      <w:r>
        <w:rPr>
          <w:rFonts w:ascii="Verdana" w:cs="Verdana" w:eastAsia="Verdana" w:hAnsi="Verdana"/>
          <w:color w:val="1F2A37"/>
          <w:sz w:val="22"/>
          <w:szCs w:val="22"/>
        </w:rPr>
        <w:t xml:space="preserve">Abbiamo scritto il bilancio per essere letto da tutte e tutti, anche da chi ha un disturbo specifico dell’apprendimento (DSA): carattere senza grazie, frasi brevi, sfondo crema, ogni grafico accompagnato dalla tabella con i numeri. Usiamo il femminile e il maschile; quando per brevità c’è solo il maschile, si intende riferito a tutte le persone.</w:t>
      </w:r>
    </w:p>
    <w:p>
      <w:pPr>
        <w:spacing w:after="140" w:line="360"/>
      </w:pPr>
      <w:r>
        <w:rPr>
          <w:rFonts w:ascii="Verdana" w:cs="Verdana" w:eastAsia="Verdana" w:hAnsi="Verdana"/>
          <w:color w:val="1F2A37"/>
          <w:sz w:val="22"/>
          <w:szCs w:val="22"/>
        </w:rPr>
        <w:t xml:space="preserve">Il documento è pubblicato solo in formato digitale sul sito dell’Ordine, leggibile anche con la sintesi vocale.</w:t>
      </w:r>
    </w:p>
    <w:p>
      <w:pPr>
        <w:pStyle w:val="Heading2"/>
        <w:keepNext/>
        <w:spacing w:after="140" w:before="300"/>
      </w:pPr>
      <w:r>
        <w:rPr>
          <w:rFonts w:ascii="Verdana" w:cs="Verdana" w:eastAsia="Verdana" w:hAnsi="Verdana"/>
          <w:b/>
          <w:bCs/>
          <w:color w:val="2E5E8C"/>
          <w:sz w:val="25"/>
          <w:szCs w:val="25"/>
        </w:rPr>
        <w:t xml:space="preserve">Il 2025 in cinque numeri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w:r>
          </w:p>
        </w:tc>
        <w:tc>
          <w:tcPr>
            <w:tcW w:type="dxa" w:w="7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w:r>
          </w:p>
        </w:tc>
      </w:tr>
      <w:tr>
        <w:trPr>
          <w:cantSplit/>
        </w:trPr>
        <w:tc>
          <w:tcPr>
            <w:tcW w:type="dxa" w:w="2000"/>
            <w:tcMar>
              <w:top w:type="dxa" w:w="70"/>
              <w:left w:type="dxa" w:w="110"/>
              <w:bottom w:type="dxa" w:w="70"/>
              <w:right w:type="dxa" w:w="110"/>
            </w:tcMar>
          </w:tcPr>
          <w:p>
            <w:r>
              <w:rPr>
                <w:rFonts w:ascii="Verdana" w:cs="Verdana" w:eastAsia="Verdana" w:hAnsi="Verdana"/>
                <w:b/>
                <w:bCs/>
                <w:color w:val="1F2A37"/>
                <w:sz w:val="24"/>
                <w:szCs w:val="24"/>
              </w:rPr>
              <w:t xml:space="preserve">45,7%</w:t>
            </w:r>
          </w:p>
        </w:tc>
        <w:tc>
          <w:tcPr>
            <w:tcW w:type="dxa" w:w="7026"/>
            <w:tcMar>
              <w:top w:type="dxa" w:w="70"/>
              <w:left w:type="dxa" w:w="110"/>
              <w:bottom w:type="dxa" w:w="70"/>
              <w:right w:type="dxa" w:w="110"/>
            </w:tcMar>
          </w:tcPr>
          <w:p>
            <w:r>
              <w:rPr>
                <w:rFonts w:ascii="Verdana" w:cs="Verdana" w:eastAsia="Verdana" w:hAnsi="Verdana"/>
                <w:b w:val="false"/>
                <w:bCs w:val="false"/>
                <w:color w:val="1F2A37"/>
                <w:sz w:val="19"/>
                <w:szCs w:val="19"/>
              </w:rPr>
              <w:t xml:space="preserve">le donne tra gli iscritti (292 su 639). In Italia sono il 33,9%.</w:t>
            </w:r>
          </w:p>
        </w:tc>
      </w:tr>
      <w:tr>
        <w:trPr>
          <w:cantSplit/>
        </w:trPr>
        <w:tc>
          <w:tcPr>
            <w:tcW w:type="dxa" w:w="2000"/>
            <w:tcMar>
              <w:top w:type="dxa" w:w="70"/>
              <w:left w:type="dxa" w:w="110"/>
              <w:bottom w:type="dxa" w:w="70"/>
              <w:right w:type="dxa" w:w="110"/>
            </w:tcMar>
          </w:tcPr>
          <w:p>
            <w:r>
              <w:rPr>
                <w:rFonts w:ascii="Verdana" w:cs="Verdana" w:eastAsia="Verdana" w:hAnsi="Verdana"/>
                <w:b/>
                <w:bCs/>
                <w:color w:val="1F2A37"/>
                <w:sz w:val="24"/>
                <w:szCs w:val="24"/>
              </w:rPr>
              <w:t xml:space="preserve">61%</w:t>
            </w:r>
          </w:p>
        </w:tc>
        <w:tc>
          <w:tcPr>
            <w:tcW w:type="dxa" w:w="7026"/>
            <w:tcMar>
              <w:top w:type="dxa" w:w="70"/>
              <w:left w:type="dxa" w:w="110"/>
              <w:bottom w:type="dxa" w:w="70"/>
              <w:right w:type="dxa" w:w="110"/>
            </w:tcMar>
          </w:tcPr>
          <w:p>
            <w:r>
              <w:rPr>
                <w:rFonts w:ascii="Verdana" w:cs="Verdana" w:eastAsia="Verdana" w:hAnsi="Verdana"/>
                <w:b w:val="false"/>
                <w:bCs w:val="false"/>
                <w:color w:val="1F2A37"/>
                <w:sz w:val="19"/>
                <w:szCs w:val="19"/>
              </w:rPr>
              <w:t xml:space="preserve">le donne tra gli iscritti di 36-45 anni. Sotto i 56 anni le donne sono la maggioranza.</w:t>
            </w:r>
          </w:p>
        </w:tc>
      </w:tr>
      <w:tr>
        <w:trPr>
          <w:cantSplit/>
        </w:trPr>
        <w:tc>
          <w:tcPr>
            <w:tcW w:type="dxa" w:w="2000"/>
            <w:tcMar>
              <w:top w:type="dxa" w:w="70"/>
              <w:left w:type="dxa" w:w="110"/>
              <w:bottom w:type="dxa" w:w="70"/>
              <w:right w:type="dxa" w:w="110"/>
            </w:tcMar>
          </w:tcPr>
          <w:p>
            <w:r>
              <w:rPr>
                <w:rFonts w:ascii="Verdana" w:cs="Verdana" w:eastAsia="Verdana" w:hAnsi="Verdana"/>
                <w:b/>
                <w:bCs/>
                <w:color w:val="1F2A37"/>
                <w:sz w:val="24"/>
                <w:szCs w:val="24"/>
              </w:rPr>
              <w:t xml:space="preserve">61%</w:t>
            </w:r>
          </w:p>
        </w:tc>
        <w:tc>
          <w:tcPr>
            <w:tcW w:type="dxa" w:w="7026"/>
            <w:tcMar>
              <w:top w:type="dxa" w:w="70"/>
              <w:left w:type="dxa" w:w="110"/>
              <w:bottom w:type="dxa" w:w="70"/>
              <w:right w:type="dxa" w:w="110"/>
            </w:tcMar>
          </w:tcPr>
          <w:p>
            <w:r>
              <w:rPr>
                <w:rFonts w:ascii="Verdana" w:cs="Verdana" w:eastAsia="Verdana" w:hAnsi="Verdana"/>
                <w:b w:val="false"/>
                <w:bCs w:val="false"/>
                <w:color w:val="1F2A37"/>
                <w:sz w:val="19"/>
                <w:szCs w:val="19"/>
              </w:rPr>
              <w:t xml:space="preserve">le donne tra i praticanti (20 su 33).</w:t>
            </w:r>
          </w:p>
        </w:tc>
      </w:tr>
      <w:tr>
        <w:trPr>
          <w:cantSplit/>
        </w:trPr>
        <w:tc>
          <w:tcPr>
            <w:tcW w:type="dxa" w:w="2000"/>
            <w:tcMar>
              <w:top w:type="dxa" w:w="70"/>
              <w:left w:type="dxa" w:w="110"/>
              <w:bottom w:type="dxa" w:w="70"/>
              <w:right w:type="dxa" w:w="110"/>
            </w:tcMar>
          </w:tcPr>
          <w:p>
            <w:r>
              <w:rPr>
                <w:rFonts w:ascii="Verdana" w:cs="Verdana" w:eastAsia="Verdana" w:hAnsi="Verdana"/>
                <w:b/>
                <w:bCs/>
                <w:color w:val="1F2A37"/>
                <w:sz w:val="24"/>
                <w:szCs w:val="24"/>
              </w:rPr>
              <w:t xml:space="preserve">54,3%</w:t>
            </w:r>
          </w:p>
        </w:tc>
        <w:tc>
          <w:tcPr>
            <w:tcW w:type="dxa" w:w="7026"/>
            <w:tcMar>
              <w:top w:type="dxa" w:w="70"/>
              <w:left w:type="dxa" w:w="110"/>
              <w:bottom w:type="dxa" w:w="70"/>
              <w:right w:type="dxa" w:w="110"/>
            </w:tcMar>
          </w:tcPr>
          <w:p>
            <w:r>
              <w:rPr>
                <w:rFonts w:ascii="Verdana" w:cs="Verdana" w:eastAsia="Verdana" w:hAnsi="Verdana"/>
                <w:b w:val="false"/>
                <w:bCs w:val="false"/>
                <w:color w:val="1F2A37"/>
                <w:sz w:val="19"/>
                <w:szCs w:val="19"/>
              </w:rPr>
              <w:t xml:space="preserve">il divario di reddito tra professioniste e professionisti iscritti alla Cassa: più alto della media regionale (48,2%) e nazionale (46,8%).</w:t>
            </w:r>
          </w:p>
        </w:tc>
      </w:tr>
      <w:tr>
        <w:trPr>
          <w:cantSplit/>
        </w:trPr>
        <w:tc>
          <w:tcPr>
            <w:tcW w:type="dxa" w:w="2000"/>
            <w:tcMar>
              <w:top w:type="dxa" w:w="70"/>
              <w:left w:type="dxa" w:w="110"/>
              <w:bottom w:type="dxa" w:w="70"/>
              <w:right w:type="dxa" w:w="110"/>
            </w:tcMar>
          </w:tcPr>
          <w:p>
            <w:r>
              <w:rPr>
                <w:rFonts w:ascii="Verdana" w:cs="Verdana" w:eastAsia="Verdana" w:hAnsi="Verdana"/>
                <w:b/>
                <w:bCs/>
                <w:color w:val="1F2A37"/>
                <w:sz w:val="24"/>
                <w:szCs w:val="24"/>
              </w:rPr>
              <w:t xml:space="preserve">4 su 11</w:t>
            </w:r>
          </w:p>
        </w:tc>
        <w:tc>
          <w:tcPr>
            <w:tcW w:type="dxa" w:w="7026"/>
            <w:tcMar>
              <w:top w:type="dxa" w:w="70"/>
              <w:left w:type="dxa" w:w="110"/>
              <w:bottom w:type="dxa" w:w="70"/>
              <w:right w:type="dxa" w:w="110"/>
            </w:tcMar>
          </w:tcPr>
          <w:p>
            <w:r>
              <w:rPr>
                <w:rFonts w:ascii="Verdana" w:cs="Verdana" w:eastAsia="Verdana" w:hAnsi="Verdana"/>
                <w:b w:val="false"/>
                <w:bCs w:val="false"/>
                <w:color w:val="1F2A37"/>
                <w:sz w:val="19"/>
                <w:szCs w:val="19"/>
              </w:rPr>
              <w:t xml:space="preserve">le donne nel Consiglio 2022-2025. Il Consiglio 2026-2030 è presieduto da una donna.</w:t>
            </w:r>
          </w:p>
        </w:tc>
      </w:tr>
    </w:tbl>
    <w:p>
      <w:pPr>
        <w:spacing w:after="140" w:line="360"/>
      </w:pPr>
      <w:r>
        <w:rPr>
          <w:rFonts w:ascii="Verdana" w:cs="Verdana" w:eastAsia="Verdana" w:hAnsi="Verdana"/>
          <w:color w:val="4B5563"/>
          <w:sz w:val="18"/>
          <w:szCs w:val="18"/>
        </w:rPr>
        <w:t xml:space="preserve">Nota: il primo, il terzo e il quinto numero si riferiscono al 31/12/2025; il divario di reddito ai redditi 2024 comunicati alla Cassa nel 2025.</w:t>
      </w:r>
    </w:p>
    <w:p>
      <w:pPr>
        <w:pageBreakBefore/>
      </w:pPr>
      <w:r>
        <w:rPr>
          <w:rFonts w:ascii="Verdana" w:cs="Verdana" w:eastAsia="Verdana" w:hAnsi="Verdana"/>
          <w:b/>
          <w:bCs/>
          <w:color w:val="2E5E8C"/>
          <w:sz w:val="28"/>
          <w:szCs w:val="28"/>
        </w:rPr>
        <w:t xml:space="preserve">Sommario</w:t>
      </w:r>
    </w:p>
    <w:sdt>
      <w:sdtPr>
        <w:alias w:val="Sommario"/>
      </w:sdtPr>
      <w:sdtContent>
        <w:p>
          <w:r>
            <w:fldChar w:fldCharType="begin" w:dirty="true"/>
            <w:instrText xml:space="preserve">TOC \h \o "1-2"</w:instrText>
            <w:fldChar w:fldCharType="separate"/>
          </w:r>
        </w:p>
        <w:p>
          <w:r>
            <w:fldChar w:fldCharType="end"/>
          </w:r>
        </w:p>
      </w:sdtContent>
    </w:sdt>
    <w:p>
      <w:pPr>
        <w:spacing w:after="140" w:line="360"/>
      </w:pPr>
      <w:r>
        <w:rPr>
          <w:rFonts w:ascii="Verdana" w:cs="Verdana" w:eastAsia="Verdana" w:hAnsi="Verdana"/>
          <w:color w:val="4B5563"/>
          <w:sz w:val="18"/>
          <w:szCs w:val="18"/>
        </w:rPr>
        <w:t xml:space="preserve">Il sommario si aggiorna in Word con tasto destro → Aggiorna campo.</w:t>
      </w:r>
    </w:p>
    <w:p>
      <w:pPr>
        <w:pStyle w:val="Heading1"/>
        <w:pageBreakBefore/>
        <w:spacing w:after="200"/>
      </w:pPr>
      <w:r>
        <w:rPr>
          <w:rFonts w:ascii="Verdana" w:cs="Verdana" w:eastAsia="Verdana" w:hAnsi="Verdana"/>
          <w:b/>
          <w:bCs/>
          <w:color w:val="2E5E8C"/>
          <w:sz w:val="32"/>
          <w:szCs w:val="32"/>
        </w:rPr>
        <w:t xml:space="preserve">1. Premessa e metodo</w:t>
      </w:r>
    </w:p>
    <w:p>
      <w:pPr>
        <w:spacing w:after="140" w:line="360"/>
      </w:pPr>
      <w:r>
        <w:rPr>
          <w:rFonts w:ascii="Verdana" w:cs="Verdana" w:eastAsia="Verdana" w:hAnsi="Verdana"/>
          <w:color w:val="1F2A37"/>
          <w:sz w:val="22"/>
          <w:szCs w:val="22"/>
        </w:rPr>
        <w:t xml:space="preserve">Il bilancio di genere fotografa la presenza di donne e uomini nella professione e nell’Ordine di Forlì e misura le differenze di reddito, di carriera e di rappresentanza. Serve a decidere dove intervenire e, l’anno dopo, a verificare se gli interventi hanno funzionato.</w:t>
      </w:r>
    </w:p>
    <w:p>
      <w:pPr>
        <w:spacing w:after="140" w:line="360"/>
      </w:pPr>
      <w:r>
        <w:rPr>
          <w:rFonts w:ascii="Verdana" w:cs="Verdana" w:eastAsia="Verdana" w:hAnsi="Verdana"/>
          <w:color w:val="1F2A37"/>
          <w:sz w:val="22"/>
          <w:szCs w:val="22"/>
        </w:rPr>
        <w:t xml:space="preserve">Seguiamo le Linee guida del Comitato Pari Opportunità nazionale del 14 marzo 2024 (Informativa CNDCEC n. 31/2024) e il Regolamento dei CPO, che all’art. 3 lett. i) affida al Comitato la redazione del bilancio di genere dell’Ordine.</w:t>
      </w:r>
    </w:p>
    <w:p>
      <w:pPr>
        <w:pStyle w:val="Heading2"/>
        <w:keepNext/>
        <w:spacing w:after="140" w:before="300"/>
      </w:pPr>
      <w:r>
        <w:rPr>
          <w:rFonts w:ascii="Verdana" w:cs="Verdana" w:eastAsia="Verdana" w:hAnsi="Verdana"/>
          <w:b/>
          <w:bCs/>
          <w:color w:val="2E5E8C"/>
          <w:sz w:val="25"/>
          <w:szCs w:val="25"/>
        </w:rPr>
        <w:t xml:space="preserve">Fonti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Dato</w:t>
            </w:r>
          </w:p>
        </w:tc>
        <w:tc>
          <w:tcPr>
            <w:tcW w:type="dxa" w:w="4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Fonte</w:t>
            </w:r>
          </w:p>
        </w:tc>
        <w:tc>
          <w:tcPr>
            <w:tcW w:type="dxa" w:w="2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Data di riferimento</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Iscritti, Elenco speciale, praticanti</w:t>
            </w:r>
          </w:p>
        </w:tc>
        <w:tc>
          <w:tcPr>
            <w:tcW w:type="dxa" w:w="4026"/>
            <w:tcMar>
              <w:top w:type="dxa" w:w="70"/>
              <w:left w:type="dxa" w:w="110"/>
              <w:bottom w:type="dxa" w:w="70"/>
              <w:right w:type="dxa" w:w="110"/>
            </w:tcMar>
          </w:tcPr>
          <w:p>
            <w:r>
              <w:rPr>
                <w:rFonts w:ascii="Verdana" w:cs="Verdana" w:eastAsia="Verdana" w:hAnsi="Verdana"/>
                <w:b w:val="false"/>
                <w:bCs w:val="false"/>
                <w:color w:val="1F2A37"/>
                <w:sz w:val="19"/>
                <w:szCs w:val="19"/>
              </w:rPr>
              <w:t xml:space="preserve">Albo e Registro del tirocinio (estrazione della Segreteria)</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31/12/2024 e 31/12/2025</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Serie storica 2020-2023</w:t>
            </w:r>
          </w:p>
        </w:tc>
        <w:tc>
          <w:tcPr>
            <w:tcW w:type="dxa" w:w="4026"/>
            <w:tcMar>
              <w:top w:type="dxa" w:w="70"/>
              <w:left w:type="dxa" w:w="110"/>
              <w:bottom w:type="dxa" w:w="70"/>
              <w:right w:type="dxa" w:w="110"/>
            </w:tcMar>
          </w:tcPr>
          <w:p>
            <w:r>
              <w:rPr>
                <w:rFonts w:ascii="Verdana" w:cs="Verdana" w:eastAsia="Verdana" w:hAnsi="Verdana"/>
                <w:b w:val="false"/>
                <w:bCs w:val="false"/>
                <w:color w:val="1F2A37"/>
                <w:sz w:val="19"/>
                <w:szCs w:val="19"/>
              </w:rPr>
              <w:t xml:space="preserve">Bilanci di genere 2023 e 2024 dell’Ordine</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31/12 di ogni anno</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Redditi e volume d’affari</w:t>
            </w:r>
          </w:p>
        </w:tc>
        <w:tc>
          <w:tcPr>
            <w:tcW w:type="dxa" w:w="4026"/>
            <w:tcMar>
              <w:top w:type="dxa" w:w="70"/>
              <w:left w:type="dxa" w:w="110"/>
              <w:bottom w:type="dxa" w:w="70"/>
              <w:right w:type="dxa" w:w="110"/>
            </w:tcMar>
          </w:tcPr>
          <w:p>
            <w:r>
              <w:rPr>
                <w:rFonts w:ascii="Verdana" w:cs="Verdana" w:eastAsia="Verdana" w:hAnsi="Verdana"/>
                <w:b w:val="false"/>
                <w:bCs w:val="false"/>
                <w:color w:val="1F2A37"/>
                <w:sz w:val="19"/>
                <w:szCs w:val="19"/>
              </w:rPr>
              <w:t xml:space="preserve">Cassa Dottori Commercialisti (CNPADC)</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Redditi 2023 e 2024</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Confronto nazionale</w:t>
            </w:r>
          </w:p>
        </w:tc>
        <w:tc>
          <w:tcPr>
            <w:tcW w:type="dxa" w:w="4026"/>
            <w:tcMar>
              <w:top w:type="dxa" w:w="70"/>
              <w:left w:type="dxa" w:w="110"/>
              <w:bottom w:type="dxa" w:w="70"/>
              <w:right w:type="dxa" w:w="110"/>
            </w:tcMar>
          </w:tcPr>
          <w:p>
            <w:r>
              <w:rPr>
                <w:rFonts w:ascii="Verdana" w:cs="Verdana" w:eastAsia="Verdana" w:hAnsi="Verdana"/>
                <w:b w:val="false"/>
                <w:bCs w:val="false"/>
                <w:color w:val="1F2A37"/>
                <w:sz w:val="19"/>
                <w:szCs w:val="19"/>
              </w:rPr>
              <w:t xml:space="preserve">Questionario CNPO 2025 e bilancio di genere del CNDCEC</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31/12/2024</w:t>
            </w:r>
          </w:p>
        </w:tc>
      </w:tr>
      <w:tr>
        <w:trPr>
          <w:cantSplit/>
        </w:trPr>
        <w:tc>
          <w:tcPr>
            <w:tcW w:type="dxa" w:w="3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Cassa Ragionieri, Tribunale, OCC, Camera di Commercio, spese]</w:t>
            </w:r>
          </w:p>
        </w:tc>
        <w:tc>
          <w:tcPr>
            <w:tcW w:type="dxa" w:w="4026"/>
            <w:tcMar>
              <w:top w:type="dxa" w:w="70"/>
              <w:left w:type="dxa" w:w="110"/>
              <w:bottom w:type="dxa" w:w="70"/>
              <w:right w:type="dxa" w:w="110"/>
            </w:tcMar>
          </w:tcPr>
          <w:p>
            <w:r>
              <w:rPr>
                <w:rFonts w:ascii="Verdana" w:cs="Verdana" w:eastAsia="Verdana" w:hAnsi="Verdana"/>
                <w:b w:val="false"/>
                <w:bCs w:val="false"/>
                <w:color w:val="1F2A37"/>
                <w:sz w:val="19"/>
                <w:szCs w:val="19"/>
              </w:rPr>
              <w:t xml:space="preserve">Richieste del 2/10/2026</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pStyle w:val="Heading2"/>
        <w:keepNext/>
        <w:spacing w:after="140" w:before="300"/>
      </w:pPr>
      <w:r>
        <w:rPr>
          <w:rFonts w:ascii="Verdana" w:cs="Verdana" w:eastAsia="Verdana" w:hAnsi="Verdana"/>
          <w:b/>
          <w:bCs/>
          <w:color w:val="2E5E8C"/>
          <w:sz w:val="25"/>
          <w:szCs w:val="25"/>
        </w:rPr>
        <w:t xml:space="preserve">Regole di calcolo</w:t>
      </w:r>
    </w:p>
    <w:p>
      <w:pPr>
        <w:pStyle w:val="ListParagraph"/>
        <w:numPr>
          <w:ilvl w:val="0"/>
          <w:numId w:val="2"/>
        </w:numPr>
        <w:spacing w:after="80" w:line="340"/>
      </w:pPr>
      <w:r>
        <w:rPr>
          <w:rFonts w:ascii="Verdana" w:cs="Verdana" w:eastAsia="Verdana" w:hAnsi="Verdana"/>
          <w:color w:val="1F2A37"/>
          <w:sz w:val="22"/>
          <w:szCs w:val="22"/>
        </w:rPr>
        <w:t xml:space="preserve">Divario di reddito = (reddito medio uomini − reddito medio donne) / reddito medio uomini. È lo stesso indicatore usato da Eurostat e dalle Linee guida.</w:t>
      </w:r>
    </w:p>
    <w:p>
      <w:pPr>
        <w:pStyle w:val="ListParagraph"/>
        <w:numPr>
          <w:ilvl w:val="0"/>
          <w:numId w:val="2"/>
        </w:numPr>
        <w:spacing w:after="80" w:line="340"/>
      </w:pPr>
      <w:r>
        <w:rPr>
          <w:rFonts w:ascii="Verdana" w:cs="Verdana" w:eastAsia="Verdana" w:hAnsi="Verdana"/>
          <w:color w:val="1F2A37"/>
          <w:sz w:val="22"/>
          <w:szCs w:val="22"/>
        </w:rPr>
        <w:t xml:space="preserve">Usiamo le medie ponderate fornite dalla Cassa, non la media delle fasce d’età.</w:t>
      </w:r>
    </w:p>
    <w:p>
      <w:pPr>
        <w:pStyle w:val="ListParagraph"/>
        <w:numPr>
          <w:ilvl w:val="0"/>
          <w:numId w:val="2"/>
        </w:numPr>
        <w:spacing w:after="80" w:line="340"/>
      </w:pPr>
      <w:r>
        <w:rPr>
          <w:rFonts w:ascii="Verdana" w:cs="Verdana" w:eastAsia="Verdana" w:hAnsi="Verdana"/>
          <w:color w:val="1F2A37"/>
          <w:sz w:val="22"/>
          <w:szCs w:val="22"/>
        </w:rPr>
        <w:t xml:space="preserve">Tutela dei dati: pubblichiamo solo dati aggregati e non mostriamo gruppi con meno di 5 persone quando potrebbero renderle riconoscibili.</w:t>
      </w:r>
    </w:p>
    <w:p>
      <w:pPr>
        <w:pStyle w:val="Heading2"/>
        <w:keepNext/>
        <w:spacing w:after="140" w:before="300"/>
      </w:pPr>
      <w:r>
        <w:rPr>
          <w:rFonts w:ascii="Verdana" w:cs="Verdana" w:eastAsia="Verdana" w:hAnsi="Verdana"/>
          <w:b/>
          <w:bCs/>
          <w:color w:val="2E5E8C"/>
          <w:sz w:val="25"/>
          <w:szCs w:val="25"/>
        </w:rPr>
        <w:t xml:space="preserve">Nota di raccordo con il bilancio 2024</w:t>
      </w:r>
    </w:p>
    <w:p>
      <w:pPr>
        <w:spacing w:after="140" w:line="360"/>
      </w:pPr>
      <w:r>
        <w:rPr>
          <w:rFonts w:ascii="Verdana" w:cs="Verdana" w:eastAsia="Verdana" w:hAnsi="Verdana"/>
          <w:color w:val="1F2A37"/>
          <w:sz w:val="22"/>
          <w:szCs w:val="22"/>
        </w:rPr>
        <w:t xml:space="preserve">Rispetto al bilancio 2024 aggiungiamo tre informazioni che allora mancavano: i praticanti per genere (le donne erano il 60% già nel 2024), il divario di reddito degli iscritti di Forlì (49,2% sui redditi 2023, mentre il bilancio 2024 riportava solo i dati regionali e nazionali) e le sezioni dell’Albo per genere.</w:t>
      </w:r>
    </w:p>
    <w:p>
      <w:pPr>
        <w:pStyle w:val="Heading1"/>
        <w:pageBreakBefore/>
        <w:spacing w:after="200"/>
      </w:pPr>
      <w:r>
        <w:rPr>
          <w:rFonts w:ascii="Verdana" w:cs="Verdana" w:eastAsia="Verdana" w:hAnsi="Verdana"/>
          <w:b/>
          <w:bCs/>
          <w:color w:val="2E5E8C"/>
          <w:sz w:val="32"/>
          <w:szCs w:val="32"/>
        </w:rPr>
        <w:t xml:space="preserve">2. Il quadro normativo in breve</w:t>
      </w:r>
    </w:p>
    <w:p>
      <w:pPr>
        <w:pStyle w:val="ListParagraph"/>
        <w:numPr>
          <w:ilvl w:val="0"/>
          <w:numId w:val="2"/>
        </w:numPr>
        <w:spacing w:after="80" w:line="340"/>
      </w:pPr>
      <w:r>
        <w:rPr>
          <w:rFonts w:ascii="Verdana" w:cs="Verdana" w:eastAsia="Verdana" w:hAnsi="Verdana"/>
          <w:color w:val="1F2A37"/>
          <w:sz w:val="22"/>
          <w:szCs w:val="22"/>
        </w:rPr>
        <w:t xml:space="preserve">Costituzione, artt. 3, 37, 51 e 117: uguaglianza, parità nel lavoro e nell’accesso alle cariche.</w:t>
      </w:r>
    </w:p>
    <w:p>
      <w:pPr>
        <w:pStyle w:val="ListParagraph"/>
        <w:numPr>
          <w:ilvl w:val="0"/>
          <w:numId w:val="2"/>
        </w:numPr>
        <w:spacing w:after="80" w:line="340"/>
      </w:pPr>
      <w:r>
        <w:rPr>
          <w:rFonts w:ascii="Verdana" w:cs="Verdana" w:eastAsia="Verdana" w:hAnsi="Verdana"/>
          <w:color w:val="1F2A37"/>
          <w:sz w:val="22"/>
          <w:szCs w:val="22"/>
        </w:rPr>
        <w:t xml:space="preserve">Codice delle pari opportunità (d.lgs. 198/2006) e legge 162/2021 sulla parità salariale, che ha introdotto la certificazione della parità di genere (UNI/PdR 125:2022).</w:t>
      </w:r>
    </w:p>
    <w:p>
      <w:pPr>
        <w:pStyle w:val="ListParagraph"/>
        <w:numPr>
          <w:ilvl w:val="0"/>
          <w:numId w:val="2"/>
        </w:numPr>
        <w:spacing w:after="80" w:line="340"/>
      </w:pPr>
      <w:r>
        <w:rPr>
          <w:rFonts w:ascii="Verdana" w:cs="Verdana" w:eastAsia="Verdana" w:hAnsi="Verdana"/>
          <w:color w:val="1F2A37"/>
          <w:sz w:val="22"/>
          <w:szCs w:val="22"/>
        </w:rPr>
        <w:t xml:space="preserve">D.lgs. 139/2005 sull’ordinamento della professione e Regolamento dei Comitati Pari Opportunità degli Ordini.</w:t>
      </w:r>
    </w:p>
    <w:p>
      <w:pPr>
        <w:spacing w:after="140" w:line="360"/>
      </w:pPr>
      <w:r>
        <w:rPr>
          <w:rFonts w:ascii="Verdana" w:cs="Verdana" w:eastAsia="Verdana" w:hAnsi="Verdana"/>
          <w:color w:val="1F2A37"/>
          <w:sz w:val="22"/>
          <w:szCs w:val="22"/>
        </w:rPr>
        <w:t xml:space="preserve">Direttiva (UE) 2023/970 del 10 maggio 2023 sulla trasparenza retributiva: gli Stati dovevano recepirla entro il 7 giugno 2026. </w:t>
      </w:r>
      <w:r>
        <w:rPr>
          <w:rFonts w:ascii="Verdana" w:cs="Verdana" w:eastAsia="Verdana" w:hAnsi="Verdana"/>
          <w:color w:val="1F2A37"/>
          <w:sz w:val="22"/>
          <w:szCs w:val="22"/>
          <w:shd w:fill="FFE873" w:color="auto" w:val="clear"/>
        </w:rPr>
        <w:t xml:space="preserve">[DA INTEGRARE: stato del recepimento in Italia alla data del bilancio]</w:t>
      </w:r>
    </w:p>
    <w:p>
      <w:pPr>
        <w:spacing w:after="140" w:line="360"/>
      </w:pPr>
      <w:r>
        <w:rPr>
          <w:rFonts w:ascii="Verdana" w:cs="Verdana" w:eastAsia="Verdana" w:hAnsi="Verdana"/>
          <w:color w:val="1F2A37"/>
          <w:sz w:val="22"/>
          <w:szCs w:val="22"/>
        </w:rPr>
        <w:t xml:space="preserve">Per la nostra professione la direttiva conta due volte: negli studi come datori di lavoro e verso le imprese clienti, che dovranno misurare e comunicare il proprio divario retributivo.</w:t>
      </w:r>
    </w:p>
    <w:p>
      <w:pPr>
        <w:pStyle w:val="Heading1"/>
        <w:pageBreakBefore/>
        <w:spacing w:after="200"/>
      </w:pPr>
      <w:r>
        <w:rPr>
          <w:rFonts w:ascii="Verdana" w:cs="Verdana" w:eastAsia="Verdana" w:hAnsi="Verdana"/>
          <w:b/>
          <w:bCs/>
          <w:color w:val="2E5E8C"/>
          <w:sz w:val="32"/>
          <w:szCs w:val="32"/>
        </w:rPr>
        <w:t xml:space="preserve">3. Il Comitato Pari Opportunità</w:t>
      </w:r>
    </w:p>
    <w:p>
      <w:pPr>
        <w:pStyle w:val="Heading2"/>
        <w:keepNext/>
        <w:spacing w:after="140" w:before="300"/>
      </w:pPr>
      <w:r>
        <w:rPr>
          <w:rFonts w:ascii="Verdana" w:cs="Verdana" w:eastAsia="Verdana" w:hAnsi="Verdana"/>
          <w:b/>
          <w:bCs/>
          <w:color w:val="2E5E8C"/>
          <w:sz w:val="25"/>
          <w:szCs w:val="25"/>
        </w:rPr>
        <w:t xml:space="preserve">Composizione</w:t>
      </w:r>
    </w:p>
    <w:p>
      <w:pPr>
        <w:spacing w:after="140" w:line="360"/>
      </w:pPr>
      <w:r>
        <w:rPr>
          <w:rFonts w:ascii="Verdana" w:cs="Verdana" w:eastAsia="Verdana" w:hAnsi="Verdana"/>
          <w:color w:val="1F2A37"/>
          <w:sz w:val="22"/>
          <w:szCs w:val="22"/>
        </w:rPr>
        <w:t xml:space="preserve">Il Comitato in carica è stato nominato dal Consiglio dell’Ordine il 23 febbraio 2026 per il quadriennio 2026-2030. È composto da 7 persone: 5 donne e 2 uomini.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Nome</w:t>
            </w:r>
          </w:p>
        </w:tc>
        <w:tc>
          <w:tcPr>
            <w:tcW w:type="dxa" w:w="4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Ruolo</w:t>
            </w:r>
          </w:p>
        </w:tc>
      </w:tr>
      <w:tr>
        <w:trPr>
          <w:cantSplit/>
        </w:trPr>
        <w:tc>
          <w:tcPr>
            <w:tcW w:type="dxa" w:w="5000"/>
            <w:tcMar>
              <w:top w:type="dxa" w:w="70"/>
              <w:left w:type="dxa" w:w="110"/>
              <w:bottom w:type="dxa" w:w="70"/>
              <w:right w:type="dxa" w:w="110"/>
            </w:tcMar>
          </w:tcPr>
          <w:p>
            <w:r>
              <w:rPr>
                <w:rFonts w:ascii="Verdana" w:cs="Verdana" w:eastAsia="Verdana" w:hAnsi="Verdana"/>
                <w:b w:val="false"/>
                <w:bCs w:val="false"/>
                <w:color w:val="1F2A37"/>
                <w:sz w:val="19"/>
                <w:szCs w:val="19"/>
              </w:rPr>
              <w:t xml:space="preserve">Emanuela Lupi</w:t>
            </w:r>
          </w:p>
        </w:tc>
        <w:tc>
          <w:tcPr>
            <w:tcW w:type="dxa" w:w="4026"/>
            <w:tcMar>
              <w:top w:type="dxa" w:w="70"/>
              <w:left w:type="dxa" w:w="110"/>
              <w:bottom w:type="dxa" w:w="70"/>
              <w:right w:type="dxa" w:w="110"/>
            </w:tcMar>
          </w:tcPr>
          <w:p>
            <w:r>
              <w:rPr>
                <w:rFonts w:ascii="Verdana" w:cs="Verdana" w:eastAsia="Verdana" w:hAnsi="Verdana"/>
                <w:b w:val="false"/>
                <w:bCs w:val="false"/>
                <w:color w:val="1F2A37"/>
                <w:sz w:val="19"/>
                <w:szCs w:val="19"/>
              </w:rPr>
              <w:t xml:space="preserve">Presidente</w:t>
            </w:r>
          </w:p>
        </w:tc>
      </w:tr>
      <w:tr>
        <w:trPr>
          <w:cantSplit/>
        </w:trPr>
        <w:tc>
          <w:tcPr>
            <w:tcW w:type="dxa" w:w="5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altri 6 componenti e ruoli]</w:t>
            </w:r>
          </w:p>
        </w:tc>
        <w:tc>
          <w:tcPr>
            <w:tcW w:type="dxa" w:w="4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spacing w:after="140" w:line="360"/>
      </w:pPr>
      <w:r>
        <w:rPr>
          <w:rFonts w:ascii="Verdana" w:cs="Verdana" w:eastAsia="Verdana" w:hAnsi="Verdana"/>
          <w:color w:val="1F2A37"/>
          <w:sz w:val="22"/>
          <w:szCs w:val="22"/>
        </w:rPr>
        <w:t xml:space="preserve">Il Comitato precedente (2022-2026) era presieduto da Monica Orecchioni ed era composto da 5 donne e 2 uomini. Ha curato i bilanci di genere 2023 e 2024.</w:t>
      </w:r>
    </w:p>
    <w:p>
      <w:pPr>
        <w:pStyle w:val="Heading2"/>
        <w:keepNext/>
        <w:spacing w:after="140" w:before="300"/>
      </w:pPr>
      <w:r>
        <w:rPr>
          <w:rFonts w:ascii="Verdana" w:cs="Verdana" w:eastAsia="Verdana" w:hAnsi="Verdana"/>
          <w:b/>
          <w:bCs/>
          <w:color w:val="2E5E8C"/>
          <w:sz w:val="25"/>
          <w:szCs w:val="25"/>
        </w:rPr>
        <w:t xml:space="preserve">Cosa fa il Comitato</w:t>
      </w:r>
    </w:p>
    <w:p>
      <w:pPr>
        <w:spacing w:after="140" w:line="360"/>
      </w:pPr>
      <w:r>
        <w:rPr>
          <w:rFonts w:ascii="Verdana" w:cs="Verdana" w:eastAsia="Verdana" w:hAnsi="Verdana"/>
          <w:color w:val="1F2A37"/>
          <w:sz w:val="22"/>
          <w:szCs w:val="22"/>
        </w:rPr>
        <w:t xml:space="preserve">Il CPO promuove la parità tra iscritte, iscritti e tirocinanti: analizza i dati, propone iniziative al Consiglio, organizza eventi formativi, vigila contro le discriminazioni e redige il bilancio di genere.</w:t>
      </w:r>
    </w:p>
    <w:p>
      <w:pPr>
        <w:pStyle w:val="Heading2"/>
        <w:keepNext/>
        <w:spacing w:after="140" w:before="300"/>
      </w:pPr>
      <w:r>
        <w:rPr>
          <w:rFonts w:ascii="Verdana" w:cs="Verdana" w:eastAsia="Verdana" w:hAnsi="Verdana"/>
          <w:b/>
          <w:bCs/>
          <w:color w:val="2E5E8C"/>
          <w:sz w:val="25"/>
          <w:szCs w:val="25"/>
        </w:rPr>
        <w:t xml:space="preserve">Risorse</w:t>
      </w:r>
    </w:p>
    <w:p>
      <w:pPr>
        <w:spacing w:after="140" w:line="360"/>
      </w:pPr>
      <w:r>
        <w:rPr>
          <w:rFonts w:ascii="Verdana" w:cs="Verdana" w:eastAsia="Verdana" w:hAnsi="Verdana"/>
          <w:color w:val="1F2A37"/>
          <w:sz w:val="22"/>
          <w:szCs w:val="22"/>
        </w:rPr>
        <w:t xml:space="preserve">Budget assegnato dal Consiglio per il 2026: </w:t>
      </w:r>
      <w:r>
        <w:rPr>
          <w:rFonts w:ascii="Verdana" w:cs="Verdana" w:eastAsia="Verdana" w:hAnsi="Verdana"/>
          <w:color w:val="1F2A37"/>
          <w:sz w:val="22"/>
          <w:szCs w:val="22"/>
          <w:shd w:fill="FFE873" w:color="auto" w:val="clear"/>
        </w:rPr>
        <w:t xml:space="preserve">[DA INTEGRARE: dato 6 della richiesta; se non assegnato, motivazione del Consiglio come chiedono le Linee guida]</w:t>
      </w:r>
    </w:p>
    <w:p>
      <w:pPr>
        <w:spacing w:after="140" w:line="360"/>
      </w:pPr>
      <w:r>
        <w:rPr>
          <w:rFonts w:ascii="Verdana" w:cs="Verdana" w:eastAsia="Verdana" w:hAnsi="Verdana"/>
          <w:color w:val="1F2A37"/>
          <w:sz w:val="22"/>
          <w:szCs w:val="22"/>
        </w:rPr>
        <w:t xml:space="preserve">Personale della Segreteria di supporto al CPO: </w:t>
      </w:r>
      <w:r>
        <w:rPr>
          <w:rFonts w:ascii="Verdana" w:cs="Verdana" w:eastAsia="Verdana" w:hAnsi="Verdana"/>
          <w:color w:val="1F2A37"/>
          <w:sz w:val="22"/>
          <w:szCs w:val="22"/>
          <w:shd w:fill="FFE873" w:color="auto" w:val="clear"/>
        </w:rPr>
        <w:t xml:space="preserve">[DA INTEGRARE: nominativo o ufficio di riferimento]</w:t>
      </w:r>
    </w:p>
    <w:p>
      <w:pPr>
        <w:spacing w:after="140" w:line="360"/>
      </w:pPr>
      <w:r>
        <w:rPr>
          <w:rFonts w:ascii="Verdana" w:cs="Verdana" w:eastAsia="Verdana" w:hAnsi="Verdana"/>
          <w:color w:val="1F2A37"/>
          <w:sz w:val="22"/>
          <w:szCs w:val="22"/>
        </w:rPr>
        <w:t xml:space="preserve">Fino al 2025 il Comitato ha operato senza budget, a titolo gratuito o con sponsor.</w:t>
      </w:r>
    </w:p>
    <w:p>
      <w:pPr>
        <w:pStyle w:val="Heading1"/>
        <w:pageBreakBefore/>
        <w:spacing w:after="200"/>
      </w:pPr>
      <w:r>
        <w:rPr>
          <w:rFonts w:ascii="Verdana" w:cs="Verdana" w:eastAsia="Verdana" w:hAnsi="Verdana"/>
          <w:b/>
          <w:bCs/>
          <w:color w:val="2E5E8C"/>
          <w:sz w:val="32"/>
          <w:szCs w:val="32"/>
        </w:rPr>
        <w:t xml:space="preserve">4. Le attività</w:t>
      </w:r>
    </w:p>
    <w:p>
      <w:pPr>
        <w:pStyle w:val="Heading2"/>
        <w:keepNext/>
        <w:spacing w:after="140" w:before="300"/>
      </w:pPr>
      <w:r>
        <w:rPr>
          <w:rFonts w:ascii="Verdana" w:cs="Verdana" w:eastAsia="Verdana" w:hAnsi="Verdana"/>
          <w:b/>
          <w:bCs/>
          <w:color w:val="2E5E8C"/>
          <w:sz w:val="25"/>
          <w:szCs w:val="25"/>
        </w:rPr>
        <w:t xml:space="preserve">2025</w:t>
      </w:r>
    </w:p>
    <w:p>
      <w:pPr>
        <w:spacing w:after="140" w:line="360"/>
      </w:pPr>
      <w:r>
        <w:rPr>
          <w:rFonts w:ascii="Verdana" w:cs="Verdana" w:eastAsia="Verdana" w:hAnsi="Verdana"/>
          <w:color w:val="1F2A37"/>
          <w:sz w:val="22"/>
          <w:szCs w:val="22"/>
          <w:shd w:fill="FFE873" w:color="auto" w:val="clear"/>
        </w:rPr>
        <w:t xml:space="preserve">[DA INTEGRARE: attività del CPO 2022-2026 nel 2025: eventi, riunioni CPO regionale, convegno nazionale CPO]</w:t>
      </w:r>
    </w:p>
    <w:p>
      <w:pPr>
        <w:pStyle w:val="Heading2"/>
        <w:keepNext/>
        <w:spacing w:after="140" w:before="300"/>
      </w:pPr>
      <w:r>
        <w:rPr>
          <w:rFonts w:ascii="Verdana" w:cs="Verdana" w:eastAsia="Verdana" w:hAnsi="Verdana"/>
          <w:b/>
          <w:bCs/>
          <w:color w:val="2E5E8C"/>
          <w:sz w:val="25"/>
          <w:szCs w:val="25"/>
        </w:rPr>
        <w:t xml:space="preserve">2026, primo anno del nuovo Comitato</w:t>
      </w:r>
    </w:p>
    <w:p>
      <w:pPr>
        <w:pStyle w:val="ListParagraph"/>
        <w:numPr>
          <w:ilvl w:val="0"/>
          <w:numId w:val="2"/>
        </w:numPr>
        <w:spacing w:after="80" w:line="340"/>
      </w:pPr>
      <w:r>
        <w:rPr>
          <w:rFonts w:ascii="Verdana" w:cs="Verdana" w:eastAsia="Verdana" w:hAnsi="Verdana"/>
          <w:color w:val="1F2A37"/>
          <w:sz w:val="22"/>
          <w:szCs w:val="22"/>
        </w:rPr>
        <w:t xml:space="preserve">Nomina del Comitato (23 febbraio 2026) e avvio della collaborazione stabile con il CPO dell’Ordine di Ravenna e con gli altri Ordini professionali della provincia.</w:t>
      </w:r>
    </w:p>
    <w:p>
      <w:pPr>
        <w:pStyle w:val="ListParagraph"/>
        <w:numPr>
          <w:ilvl w:val="0"/>
          <w:numId w:val="2"/>
        </w:numPr>
        <w:spacing w:after="80" w:line="340"/>
      </w:pPr>
      <w:r>
        <w:rPr>
          <w:rFonts w:ascii="Verdana" w:cs="Verdana" w:eastAsia="Verdana" w:hAnsi="Verdana"/>
          <w:color w:val="1F2A37"/>
          <w:sz w:val="22"/>
          <w:szCs w:val="22"/>
        </w:rPr>
        <w:t xml:space="preserve">Partecipazione al convegno “Zero disparità, più produttività – La certificazione della parità di genere” (Cesena, 4 giugno 2026), con Camera di Commercio della Romagna e Consigliera di Parità regionale.</w:t>
      </w:r>
    </w:p>
    <w:p>
      <w:pPr>
        <w:pStyle w:val="ListParagraph"/>
        <w:numPr>
          <w:ilvl w:val="0"/>
          <w:numId w:val="2"/>
        </w:numPr>
        <w:spacing w:after="80" w:line="340"/>
      </w:pPr>
      <w:r>
        <w:rPr>
          <w:rFonts w:ascii="Verdana" w:cs="Verdana" w:eastAsia="Verdana" w:hAnsi="Verdana"/>
          <w:color w:val="1F2A37"/>
          <w:sz w:val="22"/>
          <w:szCs w:val="22"/>
        </w:rPr>
        <w:t xml:space="preserve">Check-up dei bilanci di genere 2023 e 2024 e confronto con 17 bilanci di altri Ordini.</w:t>
      </w:r>
    </w:p>
    <w:p>
      <w:pPr>
        <w:pStyle w:val="ListParagraph"/>
        <w:numPr>
          <w:ilvl w:val="0"/>
          <w:numId w:val="2"/>
        </w:numPr>
        <w:spacing w:after="80" w:line="340"/>
      </w:pPr>
      <w:r>
        <w:rPr>
          <w:rFonts w:ascii="Verdana" w:cs="Verdana" w:eastAsia="Verdana" w:hAnsi="Verdana"/>
          <w:color w:val="1F2A37"/>
          <w:sz w:val="22"/>
          <w:szCs w:val="22"/>
        </w:rPr>
        <w:t xml:space="preserve">Richiesta dati al Consiglio e, tramite l’Ordine, a Cassa Ragionieri, Tribunale, OCC Romagna e Camera di Commercio (2 ottobre 2026).</w:t>
      </w:r>
    </w:p>
    <w:p>
      <w:pPr>
        <w:pStyle w:val="ListParagraph"/>
        <w:numPr>
          <w:ilvl w:val="0"/>
          <w:numId w:val="2"/>
        </w:numPr>
        <w:spacing w:after="80" w:line="340"/>
      </w:pPr>
      <w:r>
        <w:rPr>
          <w:rFonts w:ascii="Verdana" w:cs="Verdana" w:eastAsia="Verdana" w:hAnsi="Verdana"/>
          <w:color w:val="1F2A37"/>
          <w:sz w:val="22"/>
          <w:szCs w:val="22"/>
        </w:rPr>
        <w:t xml:space="preserve">Questionario breve agli iscritti su conciliazione, carriera, DSA e inclusione. </w:t>
      </w:r>
      <w:r>
        <w:rPr>
          <w:rFonts w:ascii="Verdana" w:cs="Verdana" w:eastAsia="Verdana" w:hAnsi="Verdana"/>
          <w:color w:val="1F2A37"/>
          <w:sz w:val="22"/>
          <w:szCs w:val="22"/>
          <w:shd w:fill="FFE873" w:color="auto" w:val="clear"/>
        </w:rPr>
        <w:t xml:space="preserve">[DA INTEGRARE: data di invio e numero di risposte]</w:t>
      </w:r>
    </w:p>
    <w:p>
      <w:pPr>
        <w:pStyle w:val="ListParagraph"/>
        <w:numPr>
          <w:ilvl w:val="0"/>
          <w:numId w:val="2"/>
        </w:numPr>
        <w:spacing w:after="80" w:line="340"/>
      </w:pPr>
      <w:r>
        <w:rPr>
          <w:rFonts w:ascii="Verdana" w:cs="Verdana" w:eastAsia="Verdana" w:hAnsi="Verdana"/>
          <w:color w:val="1F2A37"/>
          <w:sz w:val="22"/>
          <w:szCs w:val="22"/>
          <w:shd w:fill="FFE873" w:color="auto" w:val="clear"/>
        </w:rPr>
        <w:t xml:space="preserve">[DA INTEGRARE: altre attività 2026 fino all’assemblea]</w:t>
      </w:r>
    </w:p>
    <w:p>
      <w:pPr>
        <w:pStyle w:val="Heading1"/>
        <w:pageBreakBefore/>
        <w:spacing w:after="200"/>
      </w:pPr>
      <w:r>
        <w:rPr>
          <w:rFonts w:ascii="Verdana" w:cs="Verdana" w:eastAsia="Verdana" w:hAnsi="Verdana"/>
          <w:b/>
          <w:bCs/>
          <w:color w:val="2E5E8C"/>
          <w:sz w:val="32"/>
          <w:szCs w:val="32"/>
        </w:rPr>
        <w:t xml:space="preserve">5. Chi siamo: iscritte e iscritti</w:t>
      </w:r>
    </w:p>
    <w:p>
      <w:pPr>
        <w:spacing w:after="140" w:line="360"/>
      </w:pPr>
      <w:r>
        <w:rPr>
          <w:rFonts w:ascii="Verdana" w:cs="Verdana" w:eastAsia="Verdana" w:hAnsi="Verdana"/>
          <w:color w:val="1F2A37"/>
          <w:sz w:val="22"/>
          <w:szCs w:val="22"/>
        </w:rPr>
        <w:t xml:space="preserve">Al 31/12/2025 l’Ordine conta 639 iscritti: 292 donne (45,7%) e 347 uomini. La quota di donne è stabile da tre anni ed è molto più alta della media nazionale (33,9%) e regionale (34,2%).</w:t>
      </w:r>
    </w:p>
    <w:p>
      <w:pPr>
        <w:pStyle w:val="Heading2"/>
        <w:keepNext/>
        <w:spacing w:after="140" w:before="300"/>
      </w:pPr>
      <w:r>
        <w:rPr>
          <w:rFonts w:ascii="Verdana" w:cs="Verdana" w:eastAsia="Verdana" w:hAnsi="Verdana"/>
          <w:b/>
          <w:bCs/>
          <w:color w:val="2E5E8C"/>
          <w:sz w:val="25"/>
          <w:szCs w:val="25"/>
        </w:rPr>
        <w:t xml:space="preserve">Albo ed Elenco speciale per genere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Sezione</w:t>
            </w:r>
          </w:p>
        </w:tc>
        <w:tc>
          <w:tcPr>
            <w:tcW w:type="dxa" w:w="22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2024 donne / uomini</w:t>
            </w:r>
          </w:p>
        </w:tc>
        <w:tc>
          <w:tcPr>
            <w:tcW w:type="dxa" w:w="22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2025 donne / uomini</w:t>
            </w:r>
          </w:p>
        </w:tc>
        <w:tc>
          <w:tcPr>
            <w:tcW w:type="dxa" w:w="2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 2025</w:t>
            </w:r>
          </w:p>
        </w:tc>
      </w:tr>
      <w:tr>
        <w:trPr>
          <w:cantSplit/>
        </w:trPr>
        <w:tc>
          <w:tcPr>
            <w:tcW w:type="dxa" w:w="2600"/>
            <w:tcMar>
              <w:top w:type="dxa" w:w="70"/>
              <w:left w:type="dxa" w:w="110"/>
              <w:bottom w:type="dxa" w:w="70"/>
              <w:right w:type="dxa" w:w="110"/>
            </w:tcMar>
          </w:tcPr>
          <w:p>
            <w:r>
              <w:rPr>
                <w:rFonts w:ascii="Verdana" w:cs="Verdana" w:eastAsia="Verdana" w:hAnsi="Verdana"/>
                <w:b w:val="false"/>
                <w:bCs w:val="false"/>
                <w:color w:val="1F2A37"/>
                <w:sz w:val="19"/>
                <w:szCs w:val="19"/>
              </w:rPr>
              <w:t xml:space="preserve">Albo sez. A</w:t>
            </w:r>
          </w:p>
        </w:tc>
        <w:tc>
          <w:tcPr>
            <w:tcW w:type="dxa" w:w="2200"/>
            <w:tcMar>
              <w:top w:type="dxa" w:w="70"/>
              <w:left w:type="dxa" w:w="110"/>
              <w:bottom w:type="dxa" w:w="70"/>
              <w:right w:type="dxa" w:w="110"/>
            </w:tcMar>
          </w:tcPr>
          <w:p>
            <w:r>
              <w:rPr>
                <w:rFonts w:ascii="Verdana" w:cs="Verdana" w:eastAsia="Verdana" w:hAnsi="Verdana"/>
                <w:b w:val="false"/>
                <w:bCs w:val="false"/>
                <w:color w:val="1F2A37"/>
                <w:sz w:val="19"/>
                <w:szCs w:val="19"/>
              </w:rPr>
              <w:t xml:space="preserve">287 / 343</w:t>
            </w:r>
          </w:p>
        </w:tc>
        <w:tc>
          <w:tcPr>
            <w:tcW w:type="dxa" w:w="2200"/>
            <w:tcMar>
              <w:top w:type="dxa" w:w="70"/>
              <w:left w:type="dxa" w:w="110"/>
              <w:bottom w:type="dxa" w:w="70"/>
              <w:right w:type="dxa" w:w="110"/>
            </w:tcMar>
          </w:tcPr>
          <w:p>
            <w:r>
              <w:rPr>
                <w:rFonts w:ascii="Verdana" w:cs="Verdana" w:eastAsia="Verdana" w:hAnsi="Verdana"/>
                <w:b w:val="false"/>
                <w:bCs w:val="false"/>
                <w:color w:val="1F2A37"/>
                <w:sz w:val="19"/>
                <w:szCs w:val="19"/>
              </w:rPr>
              <w:t xml:space="preserve">283 / 342</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45,3%</w:t>
            </w:r>
          </w:p>
        </w:tc>
      </w:tr>
      <w:tr>
        <w:trPr>
          <w:cantSplit/>
        </w:trPr>
        <w:tc>
          <w:tcPr>
            <w:tcW w:type="dxa" w:w="2600"/>
            <w:tcMar>
              <w:top w:type="dxa" w:w="70"/>
              <w:left w:type="dxa" w:w="110"/>
              <w:bottom w:type="dxa" w:w="70"/>
              <w:right w:type="dxa" w:w="110"/>
            </w:tcMar>
          </w:tcPr>
          <w:p>
            <w:r>
              <w:rPr>
                <w:rFonts w:ascii="Verdana" w:cs="Verdana" w:eastAsia="Verdana" w:hAnsi="Verdana"/>
                <w:b w:val="false"/>
                <w:bCs w:val="false"/>
                <w:color w:val="1F2A37"/>
                <w:sz w:val="19"/>
                <w:szCs w:val="19"/>
              </w:rPr>
              <w:t xml:space="preserve">Albo sez. B</w:t>
            </w:r>
          </w:p>
        </w:tc>
        <w:tc>
          <w:tcPr>
            <w:tcW w:type="dxa" w:w="2200"/>
            <w:tcMar>
              <w:top w:type="dxa" w:w="70"/>
              <w:left w:type="dxa" w:w="110"/>
              <w:bottom w:type="dxa" w:w="70"/>
              <w:right w:type="dxa" w:w="110"/>
            </w:tcMar>
          </w:tcPr>
          <w:p>
            <w:r>
              <w:rPr>
                <w:rFonts w:ascii="Verdana" w:cs="Verdana" w:eastAsia="Verdana" w:hAnsi="Verdana"/>
                <w:b w:val="false"/>
                <w:bCs w:val="false"/>
                <w:color w:val="1F2A37"/>
                <w:sz w:val="19"/>
                <w:szCs w:val="19"/>
              </w:rPr>
              <w:t xml:space="preserve">1 / 2</w:t>
            </w:r>
          </w:p>
        </w:tc>
        <w:tc>
          <w:tcPr>
            <w:tcW w:type="dxa" w:w="2200"/>
            <w:tcMar>
              <w:top w:type="dxa" w:w="70"/>
              <w:left w:type="dxa" w:w="110"/>
              <w:bottom w:type="dxa" w:w="70"/>
              <w:right w:type="dxa" w:w="110"/>
            </w:tcMar>
          </w:tcPr>
          <w:p>
            <w:r>
              <w:rPr>
                <w:rFonts w:ascii="Verdana" w:cs="Verdana" w:eastAsia="Verdana" w:hAnsi="Verdana"/>
                <w:b w:val="false"/>
                <w:bCs w:val="false"/>
                <w:color w:val="1F2A37"/>
                <w:sz w:val="19"/>
                <w:szCs w:val="19"/>
              </w:rPr>
              <w:t xml:space="preserve">1 / 2</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33,3%</w:t>
            </w:r>
          </w:p>
        </w:tc>
      </w:tr>
      <w:tr>
        <w:trPr>
          <w:cantSplit/>
        </w:trPr>
        <w:tc>
          <w:tcPr>
            <w:tcW w:type="dxa" w:w="2600"/>
            <w:tcMar>
              <w:top w:type="dxa" w:w="70"/>
              <w:left w:type="dxa" w:w="110"/>
              <w:bottom w:type="dxa" w:w="70"/>
              <w:right w:type="dxa" w:w="110"/>
            </w:tcMar>
          </w:tcPr>
          <w:p>
            <w:r>
              <w:rPr>
                <w:rFonts w:ascii="Verdana" w:cs="Verdana" w:eastAsia="Verdana" w:hAnsi="Verdana"/>
                <w:b w:val="false"/>
                <w:bCs w:val="false"/>
                <w:color w:val="1F2A37"/>
                <w:sz w:val="19"/>
                <w:szCs w:val="19"/>
              </w:rPr>
              <w:t xml:space="preserve">Elenco speciale</w:t>
            </w:r>
          </w:p>
        </w:tc>
        <w:tc>
          <w:tcPr>
            <w:tcW w:type="dxa" w:w="2200"/>
            <w:tcMar>
              <w:top w:type="dxa" w:w="70"/>
              <w:left w:type="dxa" w:w="110"/>
              <w:bottom w:type="dxa" w:w="70"/>
              <w:right w:type="dxa" w:w="110"/>
            </w:tcMar>
          </w:tcPr>
          <w:p>
            <w:r>
              <w:rPr>
                <w:rFonts w:ascii="Verdana" w:cs="Verdana" w:eastAsia="Verdana" w:hAnsi="Verdana"/>
                <w:b w:val="false"/>
                <w:bCs w:val="false"/>
                <w:color w:val="1F2A37"/>
                <w:sz w:val="19"/>
                <w:szCs w:val="19"/>
              </w:rPr>
              <w:t xml:space="preserve">11 / 3</w:t>
            </w:r>
          </w:p>
        </w:tc>
        <w:tc>
          <w:tcPr>
            <w:tcW w:type="dxa" w:w="2200"/>
            <w:tcMar>
              <w:top w:type="dxa" w:w="70"/>
              <w:left w:type="dxa" w:w="110"/>
              <w:bottom w:type="dxa" w:w="70"/>
              <w:right w:type="dxa" w:w="110"/>
            </w:tcMar>
          </w:tcPr>
          <w:p>
            <w:r>
              <w:rPr>
                <w:rFonts w:ascii="Verdana" w:cs="Verdana" w:eastAsia="Verdana" w:hAnsi="Verdana"/>
                <w:b w:val="false"/>
                <w:bCs w:val="false"/>
                <w:color w:val="1F2A37"/>
                <w:sz w:val="19"/>
                <w:szCs w:val="19"/>
              </w:rPr>
              <w:t xml:space="preserve">8 / 3</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72,7%</w:t>
            </w:r>
          </w:p>
        </w:tc>
      </w:tr>
      <w:tr>
        <w:trPr>
          <w:cantSplit/>
        </w:trPr>
        <w:tc>
          <w:tcPr>
            <w:tcW w:type="dxa" w:w="2600"/>
            <w:tcMar>
              <w:top w:type="dxa" w:w="70"/>
              <w:left w:type="dxa" w:w="110"/>
              <w:bottom w:type="dxa" w:w="70"/>
              <w:right w:type="dxa" w:w="110"/>
            </w:tcMar>
          </w:tcPr>
          <w:p>
            <w:r>
              <w:rPr>
                <w:rFonts w:ascii="Verdana" w:cs="Verdana" w:eastAsia="Verdana" w:hAnsi="Verdana"/>
                <w:b w:val="false"/>
                <w:bCs w:val="false"/>
                <w:color w:val="1F2A37"/>
                <w:sz w:val="19"/>
                <w:szCs w:val="19"/>
              </w:rPr>
              <w:t xml:space="preserve">Totale</w:t>
            </w:r>
          </w:p>
        </w:tc>
        <w:tc>
          <w:tcPr>
            <w:tcW w:type="dxa" w:w="2200"/>
            <w:tcMar>
              <w:top w:type="dxa" w:w="70"/>
              <w:left w:type="dxa" w:w="110"/>
              <w:bottom w:type="dxa" w:w="70"/>
              <w:right w:type="dxa" w:w="110"/>
            </w:tcMar>
          </w:tcPr>
          <w:p>
            <w:r>
              <w:rPr>
                <w:rFonts w:ascii="Verdana" w:cs="Verdana" w:eastAsia="Verdana" w:hAnsi="Verdana"/>
                <w:b w:val="false"/>
                <w:bCs w:val="false"/>
                <w:color w:val="1F2A37"/>
                <w:sz w:val="19"/>
                <w:szCs w:val="19"/>
              </w:rPr>
              <w:t xml:space="preserve">299 / 348</w:t>
            </w:r>
          </w:p>
        </w:tc>
        <w:tc>
          <w:tcPr>
            <w:tcW w:type="dxa" w:w="2200"/>
            <w:tcMar>
              <w:top w:type="dxa" w:w="70"/>
              <w:left w:type="dxa" w:w="110"/>
              <w:bottom w:type="dxa" w:w="70"/>
              <w:right w:type="dxa" w:w="110"/>
            </w:tcMar>
          </w:tcPr>
          <w:p>
            <w:r>
              <w:rPr>
                <w:rFonts w:ascii="Verdana" w:cs="Verdana" w:eastAsia="Verdana" w:hAnsi="Verdana"/>
                <w:b w:val="false"/>
                <w:bCs w:val="false"/>
                <w:color w:val="1F2A37"/>
                <w:sz w:val="19"/>
                <w:szCs w:val="19"/>
              </w:rPr>
              <w:t xml:space="preserve">292 / 347</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45,7%</w:t>
            </w:r>
          </w:p>
        </w:tc>
      </w:tr>
    </w:tbl>
    <w:p>
      <w:pPr>
        <w:pStyle w:val="Heading2"/>
        <w:keepNext/>
        <w:spacing w:after="140" w:before="300"/>
      </w:pPr>
      <w:r>
        <w:rPr>
          <w:rFonts w:ascii="Verdana" w:cs="Verdana" w:eastAsia="Verdana" w:hAnsi="Verdana"/>
          <w:b/>
          <w:bCs/>
          <w:color w:val="2E5E8C"/>
          <w:sz w:val="25"/>
          <w:szCs w:val="25"/>
        </w:rPr>
        <w:t xml:space="preserve">Serie storica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700"/>
        <w:gridCol w:w="1300"/>
        <w:gridCol w:w="1700"/>
        <w:gridCol w:w="1826"/>
      </w:tblGrid>
      <w:tr>
        <w:trPr>
          <w:tblHeader/>
        </w:trPr>
        <w:tc>
          <w:tcPr>
            <w:tcW w:type="dxa" w:w="12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Anno</w:t>
            </w:r>
          </w:p>
        </w:tc>
        <w:tc>
          <w:tcPr>
            <w:tcW w:type="dxa" w:w="13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Albo</w:t>
            </w:r>
          </w:p>
        </w:tc>
        <w:tc>
          <w:tcPr>
            <w:tcW w:type="dxa" w:w="17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Elenco speciale</w:t>
            </w:r>
          </w:p>
        </w:tc>
        <w:tc>
          <w:tcPr>
            <w:tcW w:type="dxa" w:w="13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Totale</w:t>
            </w:r>
          </w:p>
        </w:tc>
        <w:tc>
          <w:tcPr>
            <w:tcW w:type="dxa" w:w="17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18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w:t>
            </w:r>
          </w:p>
        </w:tc>
      </w:tr>
      <w:tr>
        <w:trPr>
          <w:cantSplit/>
        </w:trPr>
        <w:tc>
          <w:tcPr>
            <w:tcW w:type="dxa" w:w="1200"/>
            <w:tcMar>
              <w:top w:type="dxa" w:w="70"/>
              <w:left w:type="dxa" w:w="110"/>
              <w:bottom w:type="dxa" w:w="70"/>
              <w:right w:type="dxa" w:w="110"/>
            </w:tcMar>
          </w:tcPr>
          <w:p>
            <w:r>
              <w:rPr>
                <w:rFonts w:ascii="Verdana" w:cs="Verdana" w:eastAsia="Verdana" w:hAnsi="Verdana"/>
                <w:b w:val="false"/>
                <w:bCs w:val="false"/>
                <w:color w:val="1F2A37"/>
                <w:sz w:val="19"/>
                <w:szCs w:val="19"/>
              </w:rPr>
              <w:t xml:space="preserve">2020</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634</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16</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650</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r>
        <w:trPr>
          <w:cantSplit/>
        </w:trPr>
        <w:tc>
          <w:tcPr>
            <w:tcW w:type="dxa" w:w="1200"/>
            <w:tcMar>
              <w:top w:type="dxa" w:w="70"/>
              <w:left w:type="dxa" w:w="110"/>
              <w:bottom w:type="dxa" w:w="70"/>
              <w:right w:type="dxa" w:w="110"/>
            </w:tcMar>
          </w:tcPr>
          <w:p>
            <w:r>
              <w:rPr>
                <w:rFonts w:ascii="Verdana" w:cs="Verdana" w:eastAsia="Verdana" w:hAnsi="Verdana"/>
                <w:b w:val="false"/>
                <w:bCs w:val="false"/>
                <w:color w:val="1F2A37"/>
                <w:sz w:val="19"/>
                <w:szCs w:val="19"/>
              </w:rPr>
              <w:t xml:space="preserve">2021</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637</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14</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651</w:t>
            </w:r>
          </w:p>
        </w:tc>
        <w:tc>
          <w:tcPr>
            <w:tcW w:type="dxa" w:w="17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2]</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r>
        <w:trPr>
          <w:cantSplit/>
        </w:trPr>
        <w:tc>
          <w:tcPr>
            <w:tcW w:type="dxa" w:w="1200"/>
            <w:tcMar>
              <w:top w:type="dxa" w:w="70"/>
              <w:left w:type="dxa" w:w="110"/>
              <w:bottom w:type="dxa" w:w="70"/>
              <w:right w:type="dxa" w:w="110"/>
            </w:tcMar>
          </w:tcPr>
          <w:p>
            <w:r>
              <w:rPr>
                <w:rFonts w:ascii="Verdana" w:cs="Verdana" w:eastAsia="Verdana" w:hAnsi="Verdana"/>
                <w:b w:val="false"/>
                <w:bCs w:val="false"/>
                <w:color w:val="1F2A37"/>
                <w:sz w:val="19"/>
                <w:szCs w:val="19"/>
              </w:rPr>
              <w:t xml:space="preserve">2022</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639</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11</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650</w:t>
            </w:r>
          </w:p>
        </w:tc>
        <w:tc>
          <w:tcPr>
            <w:tcW w:type="dxa" w:w="17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2]</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r>
        <w:trPr>
          <w:cantSplit/>
        </w:trPr>
        <w:tc>
          <w:tcPr>
            <w:tcW w:type="dxa" w:w="1200"/>
            <w:tcMar>
              <w:top w:type="dxa" w:w="70"/>
              <w:left w:type="dxa" w:w="110"/>
              <w:bottom w:type="dxa" w:w="70"/>
              <w:right w:type="dxa" w:w="110"/>
            </w:tcMar>
          </w:tcPr>
          <w:p>
            <w:r>
              <w:rPr>
                <w:rFonts w:ascii="Verdana" w:cs="Verdana" w:eastAsia="Verdana" w:hAnsi="Verdana"/>
                <w:b w:val="false"/>
                <w:bCs w:val="false"/>
                <w:color w:val="1F2A37"/>
                <w:sz w:val="19"/>
                <w:szCs w:val="19"/>
              </w:rPr>
              <w:t xml:space="preserve">2023</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641</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13</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654</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301</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46,0%</w:t>
            </w:r>
          </w:p>
        </w:tc>
      </w:tr>
      <w:tr>
        <w:trPr>
          <w:cantSplit/>
        </w:trPr>
        <w:tc>
          <w:tcPr>
            <w:tcW w:type="dxa" w:w="1200"/>
            <w:tcMar>
              <w:top w:type="dxa" w:w="70"/>
              <w:left w:type="dxa" w:w="110"/>
              <w:bottom w:type="dxa" w:w="70"/>
              <w:right w:type="dxa" w:w="110"/>
            </w:tcMar>
          </w:tcPr>
          <w:p>
            <w:r>
              <w:rPr>
                <w:rFonts w:ascii="Verdana" w:cs="Verdana" w:eastAsia="Verdana" w:hAnsi="Verdana"/>
                <w:b w:val="false"/>
                <w:bCs w:val="false"/>
                <w:color w:val="1F2A37"/>
                <w:sz w:val="19"/>
                <w:szCs w:val="19"/>
              </w:rPr>
              <w:t xml:space="preserve">2024</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634</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13</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647</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299</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46,2%</w:t>
            </w:r>
          </w:p>
        </w:tc>
      </w:tr>
      <w:tr>
        <w:trPr>
          <w:cantSplit/>
        </w:trPr>
        <w:tc>
          <w:tcPr>
            <w:tcW w:type="dxa" w:w="1200"/>
            <w:tcMar>
              <w:top w:type="dxa" w:w="70"/>
              <w:left w:type="dxa" w:w="110"/>
              <w:bottom w:type="dxa" w:w="70"/>
              <w:right w:type="dxa" w:w="110"/>
            </w:tcMar>
          </w:tcPr>
          <w:p>
            <w:r>
              <w:rPr>
                <w:rFonts w:ascii="Verdana" w:cs="Verdana" w:eastAsia="Verdana" w:hAnsi="Verdana"/>
                <w:b w:val="false"/>
                <w:bCs w:val="false"/>
                <w:color w:val="1F2A37"/>
                <w:sz w:val="19"/>
                <w:szCs w:val="19"/>
              </w:rPr>
              <w:t xml:space="preserve">2025</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628</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11</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639</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292</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45,7%</w:t>
            </w:r>
          </w:p>
        </w:tc>
      </w:tr>
    </w:tbl>
    <w:p>
      <w:pPr>
        <w:pStyle w:val="Heading2"/>
        <w:keepNext/>
        <w:spacing w:after="140" w:before="300"/>
      </w:pPr>
      <w:r>
        <w:rPr>
          <w:rFonts w:ascii="Verdana" w:cs="Verdana" w:eastAsia="Verdana" w:hAnsi="Verdana"/>
          <w:b/>
          <w:bCs/>
          <w:color w:val="2E5E8C"/>
          <w:sz w:val="25"/>
          <w:szCs w:val="25"/>
        </w:rPr>
        <w:t xml:space="preserve">Età</w:t>
      </w:r>
    </w:p>
    <w:p>
      <w:pPr>
        <w:spacing w:after="120"/>
      </w:pPr>
      <w:r>
        <w:drawing>
          <wp:inline distT="0" distB="0" distL="0" distR="0">
            <wp:extent cx="5715000" cy="3000375"/>
            <wp:effectExtent t="0" r="0" b="0" l="0"/>
            <wp:docPr id="1" name="eta_genere.png" descr="Grafico: i valori sono riportati nella tabella che segue" title="eta_gene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03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Classe d’età</w:t>
            </w:r>
          </w:p>
        </w:tc>
        <w:tc>
          <w:tcPr>
            <w:tcW w:type="dxa" w:w="2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2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c>
          <w:tcPr>
            <w:tcW w:type="dxa" w:w="2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Fino a 35</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28</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25</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52,8%</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36-45</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60</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38</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61,2%</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46-55</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99</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92</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51,8%</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56-65</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81</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127</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38,9%</w:t>
            </w:r>
          </w:p>
        </w:tc>
      </w:tr>
      <w:tr>
        <w:trPr>
          <w:cantSplit/>
        </w:trPr>
        <w:tc>
          <w:tcPr>
            <w:tcW w:type="dxa" w:w="3000"/>
            <w:tcMar>
              <w:top w:type="dxa" w:w="70"/>
              <w:left w:type="dxa" w:w="110"/>
              <w:bottom w:type="dxa" w:w="70"/>
              <w:right w:type="dxa" w:w="110"/>
            </w:tcMar>
          </w:tcPr>
          <w:p>
            <w:r>
              <w:rPr>
                <w:rFonts w:ascii="Verdana" w:cs="Verdana" w:eastAsia="Verdana" w:hAnsi="Verdana"/>
                <w:b w:val="false"/>
                <w:bCs w:val="false"/>
                <w:color w:val="1F2A37"/>
                <w:sz w:val="19"/>
                <w:szCs w:val="19"/>
              </w:rPr>
              <w:t xml:space="preserve">Oltre 65</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24</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65</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27,0%</w:t>
            </w:r>
          </w:p>
        </w:tc>
      </w:tr>
    </w:tbl>
    <w:p>
      <w:pPr>
        <w:spacing w:after="140" w:line="360"/>
      </w:pPr>
      <w:r>
        <w:rPr>
          <w:rFonts w:ascii="Verdana" w:cs="Verdana" w:eastAsia="Verdana" w:hAnsi="Verdana"/>
          <w:color w:val="1F2A37"/>
          <w:sz w:val="22"/>
          <w:szCs w:val="22"/>
        </w:rPr>
        <w:t xml:space="preserve">Le donne sono più giovani: età media 51,0 anni contro 55,7 degli uomini. Sotto i 56 anni sono la maggioranza in ogni classe; tra gli over 65 sono poco più di una su quattro. Con il ricambio generazionale l’Albo arriverà alla parità numerica nei prossimi anni.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1826"/>
      </w:tblGrid>
      <w:tr>
        <w:trPr>
          <w:tblHeader/>
        </w:trPr>
        <w:tc>
          <w:tcPr>
            <w:tcW w:type="dxa" w:w="4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Generazione</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c>
          <w:tcPr>
            <w:tcW w:type="dxa" w:w="18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w:t>
            </w:r>
          </w:p>
        </w:tc>
      </w:tr>
      <w:tr>
        <w:trPr>
          <w:cantSplit/>
        </w:trPr>
        <w:tc>
          <w:tcPr>
            <w:tcW w:type="dxa" w:w="4000"/>
            <w:tcMar>
              <w:top w:type="dxa" w:w="70"/>
              <w:left w:type="dxa" w:w="110"/>
              <w:bottom w:type="dxa" w:w="70"/>
              <w:right w:type="dxa" w:w="110"/>
            </w:tcMar>
          </w:tcPr>
          <w:p>
            <w:r>
              <w:rPr>
                <w:rFonts w:ascii="Verdana" w:cs="Verdana" w:eastAsia="Verdana" w:hAnsi="Verdana"/>
                <w:b w:val="false"/>
                <w:bCs w:val="false"/>
                <w:color w:val="1F2A37"/>
                <w:sz w:val="19"/>
                <w:szCs w:val="19"/>
              </w:rPr>
              <w:t xml:space="preserve">Generazione silenziosa (1928-1945)</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2</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7</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22,2%</w:t>
            </w:r>
          </w:p>
        </w:tc>
      </w:tr>
      <w:tr>
        <w:trPr>
          <w:cantSplit/>
        </w:trPr>
        <w:tc>
          <w:tcPr>
            <w:tcW w:type="dxa" w:w="4000"/>
            <w:tcMar>
              <w:top w:type="dxa" w:w="70"/>
              <w:left w:type="dxa" w:w="110"/>
              <w:bottom w:type="dxa" w:w="70"/>
              <w:right w:type="dxa" w:w="110"/>
            </w:tcMar>
          </w:tcPr>
          <w:p>
            <w:r>
              <w:rPr>
                <w:rFonts w:ascii="Verdana" w:cs="Verdana" w:eastAsia="Verdana" w:hAnsi="Verdana"/>
                <w:b w:val="false"/>
                <w:bCs w:val="false"/>
                <w:color w:val="1F2A37"/>
                <w:sz w:val="19"/>
                <w:szCs w:val="19"/>
              </w:rPr>
              <w:t xml:space="preserve">Baby boomers (1946-1964)</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57</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121</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32,0%</w:t>
            </w:r>
          </w:p>
        </w:tc>
      </w:tr>
      <w:tr>
        <w:trPr>
          <w:cantSplit/>
        </w:trPr>
        <w:tc>
          <w:tcPr>
            <w:tcW w:type="dxa" w:w="4000"/>
            <w:tcMar>
              <w:top w:type="dxa" w:w="70"/>
              <w:left w:type="dxa" w:w="110"/>
              <w:bottom w:type="dxa" w:w="70"/>
              <w:right w:type="dxa" w:w="110"/>
            </w:tcMar>
          </w:tcPr>
          <w:p>
            <w:r>
              <w:rPr>
                <w:rFonts w:ascii="Verdana" w:cs="Verdana" w:eastAsia="Verdana" w:hAnsi="Verdana"/>
                <w:b w:val="false"/>
                <w:bCs w:val="false"/>
                <w:color w:val="1F2A37"/>
                <w:sz w:val="19"/>
                <w:szCs w:val="19"/>
              </w:rPr>
              <w:t xml:space="preserve">Generazione X (1965-1980)</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148</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160</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48,1%</w:t>
            </w:r>
          </w:p>
        </w:tc>
      </w:tr>
      <w:tr>
        <w:trPr>
          <w:cantSplit/>
        </w:trPr>
        <w:tc>
          <w:tcPr>
            <w:tcW w:type="dxa" w:w="4000"/>
            <w:tcMar>
              <w:top w:type="dxa" w:w="70"/>
              <w:left w:type="dxa" w:w="110"/>
              <w:bottom w:type="dxa" w:w="70"/>
              <w:right w:type="dxa" w:w="110"/>
            </w:tcMar>
          </w:tcPr>
          <w:p>
            <w:r>
              <w:rPr>
                <w:rFonts w:ascii="Verdana" w:cs="Verdana" w:eastAsia="Verdana" w:hAnsi="Verdana"/>
                <w:b w:val="false"/>
                <w:bCs w:val="false"/>
                <w:color w:val="1F2A37"/>
                <w:sz w:val="19"/>
                <w:szCs w:val="19"/>
              </w:rPr>
              <w:t xml:space="preserve">Millennials (1981-2000)</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85</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59</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59,0%</w:t>
            </w:r>
          </w:p>
        </w:tc>
      </w:tr>
    </w:tbl>
    <w:p>
      <w:pPr>
        <w:pStyle w:val="Heading2"/>
        <w:keepNext/>
        <w:spacing w:after="140" w:before="300"/>
      </w:pPr>
      <w:r>
        <w:rPr>
          <w:rFonts w:ascii="Verdana" w:cs="Verdana" w:eastAsia="Verdana" w:hAnsi="Verdana"/>
          <w:b/>
          <w:bCs/>
          <w:color w:val="2E5E8C"/>
          <w:sz w:val="25"/>
          <w:szCs w:val="25"/>
        </w:rPr>
        <w:t xml:space="preserve">Praticanti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2026"/>
      </w:tblGrid>
      <w:tr>
        <w:trPr>
          <w:tblHeader/>
        </w:trPr>
        <w:tc>
          <w:tcPr>
            <w:tcW w:type="dxa" w:w="15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Anno</w:t>
            </w:r>
          </w:p>
        </w:tc>
        <w:tc>
          <w:tcPr>
            <w:tcW w:type="dxa" w:w="15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Totale</w:t>
            </w:r>
          </w:p>
        </w:tc>
        <w:tc>
          <w:tcPr>
            <w:tcW w:type="dxa" w:w="2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2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c>
          <w:tcPr>
            <w:tcW w:type="dxa" w:w="2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w:t>
            </w:r>
          </w:p>
        </w:tc>
      </w:tr>
      <w:tr>
        <w:trPr>
          <w:cantSplit/>
        </w:trPr>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2020</w:t>
            </w:r>
          </w:p>
        </w:tc>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23</w:t>
            </w:r>
          </w:p>
        </w:tc>
        <w:tc>
          <w:tcPr>
            <w:tcW w:type="dxa" w:w="2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2]</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r>
        <w:trPr>
          <w:cantSplit/>
        </w:trPr>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2021</w:t>
            </w:r>
          </w:p>
        </w:tc>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19</w:t>
            </w:r>
          </w:p>
        </w:tc>
        <w:tc>
          <w:tcPr>
            <w:tcW w:type="dxa" w:w="2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2]</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r>
        <w:trPr>
          <w:cantSplit/>
        </w:trPr>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2022</w:t>
            </w:r>
          </w:p>
        </w:tc>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28</w:t>
            </w:r>
          </w:p>
        </w:tc>
        <w:tc>
          <w:tcPr>
            <w:tcW w:type="dxa" w:w="2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2]</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r>
        <w:trPr>
          <w:cantSplit/>
        </w:trPr>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2023</w:t>
            </w:r>
          </w:p>
        </w:tc>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28</w:t>
            </w:r>
          </w:p>
        </w:tc>
        <w:tc>
          <w:tcPr>
            <w:tcW w:type="dxa" w:w="2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2]</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r>
        <w:trPr>
          <w:cantSplit/>
        </w:trPr>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2024</w:t>
            </w:r>
          </w:p>
        </w:tc>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25</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15</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10</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60,0%</w:t>
            </w:r>
          </w:p>
        </w:tc>
      </w:tr>
      <w:tr>
        <w:trPr>
          <w:cantSplit/>
        </w:trPr>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2025</w:t>
            </w:r>
          </w:p>
        </w:tc>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33</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20</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13</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60,6%</w:t>
            </w:r>
          </w:p>
        </w:tc>
      </w:tr>
    </w:tbl>
    <w:p>
      <w:pPr>
        <w:spacing w:after="140" w:line="360"/>
      </w:pPr>
      <w:r>
        <w:rPr>
          <w:rFonts w:ascii="Verdana" w:cs="Verdana" w:eastAsia="Verdana" w:hAnsi="Verdana"/>
          <w:color w:val="1F2A37"/>
          <w:sz w:val="22"/>
          <w:szCs w:val="22"/>
        </w:rPr>
        <w:t xml:space="preserve">Sei praticanti su dieci sono donne. È la base della professione di domani: il punto è che restino e crescano.</w:t>
      </w:r>
    </w:p>
    <w:p>
      <w:pPr>
        <w:pStyle w:val="Heading2"/>
        <w:keepNext/>
        <w:spacing w:after="140" w:before="300"/>
      </w:pPr>
      <w:r>
        <w:rPr>
          <w:rFonts w:ascii="Verdana" w:cs="Verdana" w:eastAsia="Verdana" w:hAnsi="Verdana"/>
          <w:b/>
          <w:bCs/>
          <w:color w:val="2E5E8C"/>
          <w:sz w:val="25"/>
          <w:szCs w:val="25"/>
        </w:rPr>
        <w:t xml:space="preserve">Chi entra e chi esce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2024 → 2025</w:t>
            </w:r>
          </w:p>
        </w:tc>
        <w:tc>
          <w:tcPr>
            <w:tcW w:type="dxa" w:w="25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25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r>
      <w:tr>
        <w:trPr>
          <w:cantSplit/>
        </w:trPr>
        <w:tc>
          <w:tcPr>
            <w:tcW w:type="dxa" w:w="4000"/>
            <w:tcMar>
              <w:top w:type="dxa" w:w="70"/>
              <w:left w:type="dxa" w:w="110"/>
              <w:bottom w:type="dxa" w:w="70"/>
              <w:right w:type="dxa" w:w="110"/>
            </w:tcMar>
          </w:tcPr>
          <w:p>
            <w:r>
              <w:rPr>
                <w:rFonts w:ascii="Verdana" w:cs="Verdana" w:eastAsia="Verdana" w:hAnsi="Verdana"/>
                <w:b w:val="false"/>
                <w:bCs w:val="false"/>
                <w:color w:val="1F2A37"/>
                <w:sz w:val="19"/>
                <w:szCs w:val="19"/>
              </w:rPr>
              <w:t xml:space="preserve">Nuovi ingressi nell’Albo</w:t>
            </w:r>
          </w:p>
        </w:tc>
        <w:tc>
          <w:tcPr>
            <w:tcW w:type="dxa" w:w="2500"/>
            <w:tcMar>
              <w:top w:type="dxa" w:w="70"/>
              <w:left w:type="dxa" w:w="110"/>
              <w:bottom w:type="dxa" w:w="70"/>
              <w:right w:type="dxa" w:w="110"/>
            </w:tcMar>
          </w:tcPr>
          <w:p>
            <w:r>
              <w:rPr>
                <w:rFonts w:ascii="Verdana" w:cs="Verdana" w:eastAsia="Verdana" w:hAnsi="Verdana"/>
                <w:b w:val="false"/>
                <w:bCs w:val="false"/>
                <w:color w:val="1F2A37"/>
                <w:sz w:val="19"/>
                <w:szCs w:val="19"/>
              </w:rPr>
              <w:t xml:space="preserve">2</w:t>
            </w:r>
          </w:p>
        </w:tc>
        <w:tc>
          <w:tcPr>
            <w:tcW w:type="dxa" w:w="2526"/>
            <w:tcMar>
              <w:top w:type="dxa" w:w="70"/>
              <w:left w:type="dxa" w:w="110"/>
              <w:bottom w:type="dxa" w:w="70"/>
              <w:right w:type="dxa" w:w="110"/>
            </w:tcMar>
          </w:tcPr>
          <w:p>
            <w:r>
              <w:rPr>
                <w:rFonts w:ascii="Verdana" w:cs="Verdana" w:eastAsia="Verdana" w:hAnsi="Verdana"/>
                <w:b w:val="false"/>
                <w:bCs w:val="false"/>
                <w:color w:val="1F2A37"/>
                <w:sz w:val="19"/>
                <w:szCs w:val="19"/>
              </w:rPr>
              <w:t xml:space="preserve">7</w:t>
            </w:r>
          </w:p>
        </w:tc>
      </w:tr>
      <w:tr>
        <w:trPr>
          <w:cantSplit/>
        </w:trPr>
        <w:tc>
          <w:tcPr>
            <w:tcW w:type="dxa" w:w="4000"/>
            <w:tcMar>
              <w:top w:type="dxa" w:w="70"/>
              <w:left w:type="dxa" w:w="110"/>
              <w:bottom w:type="dxa" w:w="70"/>
              <w:right w:type="dxa" w:w="110"/>
            </w:tcMar>
          </w:tcPr>
          <w:p>
            <w:r>
              <w:rPr>
                <w:rFonts w:ascii="Verdana" w:cs="Verdana" w:eastAsia="Verdana" w:hAnsi="Verdana"/>
                <w:b w:val="false"/>
                <w:bCs w:val="false"/>
                <w:color w:val="1F2A37"/>
                <w:sz w:val="19"/>
                <w:szCs w:val="19"/>
              </w:rPr>
              <w:t xml:space="preserve">Uscite dall’Albo</w:t>
            </w:r>
          </w:p>
        </w:tc>
        <w:tc>
          <w:tcPr>
            <w:tcW w:type="dxa" w:w="2500"/>
            <w:tcMar>
              <w:top w:type="dxa" w:w="70"/>
              <w:left w:type="dxa" w:w="110"/>
              <w:bottom w:type="dxa" w:w="70"/>
              <w:right w:type="dxa" w:w="110"/>
            </w:tcMar>
          </w:tcPr>
          <w:p>
            <w:r>
              <w:rPr>
                <w:rFonts w:ascii="Verdana" w:cs="Verdana" w:eastAsia="Verdana" w:hAnsi="Verdana"/>
                <w:b w:val="false"/>
                <w:bCs w:val="false"/>
                <w:color w:val="1F2A37"/>
                <w:sz w:val="19"/>
                <w:szCs w:val="19"/>
              </w:rPr>
              <w:t xml:space="preserve">9</w:t>
            </w:r>
          </w:p>
        </w:tc>
        <w:tc>
          <w:tcPr>
            <w:tcW w:type="dxa" w:w="2526"/>
            <w:tcMar>
              <w:top w:type="dxa" w:w="70"/>
              <w:left w:type="dxa" w:w="110"/>
              <w:bottom w:type="dxa" w:w="70"/>
              <w:right w:type="dxa" w:w="110"/>
            </w:tcMar>
          </w:tcPr>
          <w:p>
            <w:r>
              <w:rPr>
                <w:rFonts w:ascii="Verdana" w:cs="Verdana" w:eastAsia="Verdana" w:hAnsi="Verdana"/>
                <w:b w:val="false"/>
                <w:bCs w:val="false"/>
                <w:color w:val="1F2A37"/>
                <w:sz w:val="19"/>
                <w:szCs w:val="19"/>
              </w:rPr>
              <w:t xml:space="preserve">8</w:t>
            </w:r>
          </w:p>
        </w:tc>
      </w:tr>
    </w:tbl>
    <w:p>
      <w:pPr>
        <w:spacing w:after="140" w:line="360"/>
      </w:pPr>
      <w:r>
        <w:rPr>
          <w:rFonts w:ascii="Verdana" w:cs="Verdana" w:eastAsia="Verdana" w:hAnsi="Verdana"/>
          <w:color w:val="1F2A37"/>
          <w:sz w:val="22"/>
          <w:szCs w:val="22"/>
        </w:rPr>
        <w:t xml:space="preserve">Stima del CPO dal confronto degli elenchi anonimi 2024 e 2025. </w:t>
      </w:r>
      <w:r>
        <w:rPr>
          <w:rFonts w:ascii="Verdana" w:cs="Verdana" w:eastAsia="Verdana" w:hAnsi="Verdana"/>
          <w:color w:val="1F2A37"/>
          <w:sz w:val="22"/>
          <w:szCs w:val="22"/>
          <w:shd w:fill="FFE873" w:color="auto" w:val="clear"/>
        </w:rPr>
        <w:t xml:space="preserve">[DA INTEGRARE: dato 1: iscrizioni e cancellazioni 2021-2025 per genere, età e motivo]</w:t>
      </w:r>
    </w:p>
    <w:p>
      <w:pPr>
        <w:spacing w:after="140" w:line="360"/>
      </w:pPr>
      <w:r>
        <w:rPr>
          <w:rFonts w:ascii="Verdana" w:cs="Verdana" w:eastAsia="Verdana" w:hAnsi="Verdana"/>
          <w:color w:val="1F2A37"/>
          <w:sz w:val="22"/>
          <w:szCs w:val="22"/>
        </w:rPr>
        <w:t xml:space="preserve">Due segnali da approfondire. Le praticanti sono il 60%, ma tra i nuovi iscritti del 2025 le donne sono solo 2 su 9. Tra chi è uscito, 4 donne hanno meno di 50 anni, mentre gli uomini usciti sono quasi tutti oltre i 57 anni. Anche a livello nazionale le donne sono passate dal 39% al 46% delle cancellazioni dalla Cassa tra il 2018 e il 2023.</w:t>
      </w:r>
    </w:p>
    <w:p>
      <w:pPr>
        <w:pStyle w:val="Heading1"/>
        <w:pageBreakBefore/>
        <w:spacing w:after="200"/>
      </w:pPr>
      <w:r>
        <w:rPr>
          <w:rFonts w:ascii="Verdana" w:cs="Verdana" w:eastAsia="Verdana" w:hAnsi="Verdana"/>
          <w:b/>
          <w:bCs/>
          <w:color w:val="2E5E8C"/>
          <w:sz w:val="32"/>
          <w:szCs w:val="32"/>
        </w:rPr>
        <w:t xml:space="preserve">6. Chi decide: Consiglio e organi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026"/>
      </w:tblGrid>
      <w:tr>
        <w:trPr>
          <w:tblHeader/>
        </w:trPr>
        <w:tc>
          <w:tcPr>
            <w:tcW w:type="dxa" w:w="38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Organo</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c>
          <w:tcPr>
            <w:tcW w:type="dxa" w:w="2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Consiglio 2022-2025</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4</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7</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36,4%</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Consiglio 2026-2030</w:t>
            </w:r>
          </w:p>
        </w:tc>
        <w:tc>
          <w:tcPr>
            <w:tcW w:type="dxa" w:w="16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3]</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CPO 2026-2030</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5</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2</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71,4%</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Consiglio di disciplina, revisori, commissioni</w:t>
            </w:r>
          </w:p>
        </w:tc>
        <w:tc>
          <w:tcPr>
            <w:tcW w:type="dxa" w:w="16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3]</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spacing w:after="140" w:line="360"/>
      </w:pPr>
      <w:r>
        <w:rPr>
          <w:rFonts w:ascii="Verdana" w:cs="Verdana" w:eastAsia="Verdana" w:hAnsi="Verdana"/>
          <w:color w:val="1F2A37"/>
          <w:sz w:val="22"/>
          <w:szCs w:val="22"/>
        </w:rPr>
        <w:t xml:space="preserve">Nel Consiglio 2022-2025 le donne erano il 36%, dieci punti sotto la loro presenza tra gli iscritti (46%). Il Consiglio 2026-2030 è presieduto da una donna, la dott.ssa Sara Pennacchi: a livello nazionale le Presidenti di Ordine sono passate da 19 a 30 su 132.</w:t>
      </w:r>
    </w:p>
    <w:p>
      <w:pPr>
        <w:spacing w:after="140" w:line="360"/>
      </w:pPr>
      <w:r>
        <w:rPr>
          <w:rFonts w:ascii="Verdana" w:cs="Verdana" w:eastAsia="Verdana" w:hAnsi="Verdana"/>
          <w:color w:val="1F2A37"/>
          <w:sz w:val="22"/>
          <w:szCs w:val="22"/>
        </w:rPr>
        <w:t xml:space="preserve">Cariche (Presidente, Vicepresidente, Segretario, Tesoriere) per genere: </w:t>
      </w:r>
      <w:r>
        <w:rPr>
          <w:rFonts w:ascii="Verdana" w:cs="Verdana" w:eastAsia="Verdana" w:hAnsi="Verdana"/>
          <w:color w:val="1F2A37"/>
          <w:sz w:val="22"/>
          <w:szCs w:val="22"/>
          <w:shd w:fill="FFE873" w:color="auto" w:val="clear"/>
        </w:rPr>
        <w:t xml:space="preserve">[DA INTEGRARE: dato 3]</w:t>
      </w:r>
    </w:p>
    <w:p>
      <w:pPr>
        <w:pStyle w:val="Heading1"/>
        <w:pageBreakBefore/>
        <w:spacing w:after="200"/>
      </w:pPr>
      <w:r>
        <w:rPr>
          <w:rFonts w:ascii="Verdana" w:cs="Verdana" w:eastAsia="Verdana" w:hAnsi="Verdana"/>
          <w:b/>
          <w:bCs/>
          <w:color w:val="2E5E8C"/>
          <w:sz w:val="32"/>
          <w:szCs w:val="32"/>
        </w:rPr>
        <w:t xml:space="preserve">7. Quanto guadagniamo: il divario di reddito</w:t>
      </w:r>
    </w:p>
    <w:p>
      <w:pPr>
        <w:spacing w:after="140" w:line="360"/>
      </w:pPr>
      <w:r>
        <w:rPr>
          <w:rFonts w:ascii="Verdana" w:cs="Verdana" w:eastAsia="Verdana" w:hAnsi="Verdana"/>
          <w:color w:val="1F2A37"/>
          <w:sz w:val="22"/>
          <w:szCs w:val="22"/>
        </w:rPr>
        <w:t xml:space="preserve">I dati sono quelli della Cassa Dottori Commercialisti per gli iscritti attivi residenti nel territorio dell’Ordine. Non comprendono gli iscritti alla Cassa Ragionieri.</w:t>
      </w:r>
    </w:p>
    <w:p>
      <w:pPr>
        <w:spacing w:after="120"/>
      </w:pPr>
      <w:r>
        <w:drawing>
          <wp:inline distT="0" distB="0" distL="0" distR="0">
            <wp:extent cx="5715000" cy="3000375"/>
            <wp:effectExtent t="0" r="0" b="0" l="0"/>
            <wp:docPr id="1" name="divario.png" descr="Grafico: i valori sono riportati nella tabella che segue" title="div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03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tblHeader/>
        </w:trPr>
        <w:tc>
          <w:tcPr>
            <w:tcW w:type="dxa" w:w="33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w:r>
          </w:p>
        </w:tc>
        <w:tc>
          <w:tcPr>
            <w:tcW w:type="dxa" w:w="19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Forlì</w:t>
            </w:r>
          </w:p>
        </w:tc>
        <w:tc>
          <w:tcPr>
            <w:tcW w:type="dxa" w:w="19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Emilia-Romagna</w:t>
            </w:r>
          </w:p>
        </w:tc>
        <w:tc>
          <w:tcPr>
            <w:tcW w:type="dxa" w:w="19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Italia</w:t>
            </w:r>
          </w:p>
        </w:tc>
      </w:tr>
      <w:tr>
        <w:trPr>
          <w:cantSplit/>
        </w:trPr>
        <w:tc>
          <w:tcPr>
            <w:tcW w:type="dxa" w:w="3300"/>
            <w:tcMar>
              <w:top w:type="dxa" w:w="70"/>
              <w:left w:type="dxa" w:w="110"/>
              <w:bottom w:type="dxa" w:w="70"/>
              <w:right w:type="dxa" w:w="110"/>
            </w:tcMar>
          </w:tcPr>
          <w:p>
            <w:r>
              <w:rPr>
                <w:rFonts w:ascii="Verdana" w:cs="Verdana" w:eastAsia="Verdana" w:hAnsi="Verdana"/>
                <w:b w:val="false"/>
                <w:bCs w:val="false"/>
                <w:color w:val="1F2A37"/>
                <w:sz w:val="19"/>
                <w:szCs w:val="19"/>
              </w:rPr>
              <w:t xml:space="preserve">Iscritti attivi (% donne)</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486 (45,3%)</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6098 (40,8%)</w:t>
            </w:r>
          </w:p>
        </w:tc>
        <w:tc>
          <w:tcPr>
            <w:tcW w:type="dxa" w:w="1926"/>
            <w:tcMar>
              <w:top w:type="dxa" w:w="70"/>
              <w:left w:type="dxa" w:w="110"/>
              <w:bottom w:type="dxa" w:w="70"/>
              <w:right w:type="dxa" w:w="110"/>
            </w:tcMar>
          </w:tcPr>
          <w:p>
            <w:r>
              <w:rPr>
                <w:rFonts w:ascii="Verdana" w:cs="Verdana" w:eastAsia="Verdana" w:hAnsi="Verdana"/>
                <w:b w:val="false"/>
                <w:bCs w:val="false"/>
                <w:color w:val="1F2A37"/>
                <w:sz w:val="19"/>
                <w:szCs w:val="19"/>
              </w:rPr>
              <w:t xml:space="preserve">73.959 (33,4%)</w:t>
            </w:r>
          </w:p>
        </w:tc>
      </w:tr>
      <w:tr>
        <w:trPr>
          <w:cantSplit/>
        </w:trPr>
        <w:tc>
          <w:tcPr>
            <w:tcW w:type="dxa" w:w="3300"/>
            <w:tcMar>
              <w:top w:type="dxa" w:w="70"/>
              <w:left w:type="dxa" w:w="110"/>
              <w:bottom w:type="dxa" w:w="70"/>
              <w:right w:type="dxa" w:w="110"/>
            </w:tcMar>
          </w:tcPr>
          <w:p>
            <w:r>
              <w:rPr>
                <w:rFonts w:ascii="Verdana" w:cs="Verdana" w:eastAsia="Verdana" w:hAnsi="Verdana"/>
                <w:b w:val="false"/>
                <w:bCs w:val="false"/>
                <w:color w:val="1F2A37"/>
                <w:sz w:val="19"/>
                <w:szCs w:val="19"/>
              </w:rPr>
              <w:t xml:space="preserve">Reddito medio donne</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59.218 €</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69.199 €</w:t>
            </w:r>
          </w:p>
        </w:tc>
        <w:tc>
          <w:tcPr>
            <w:tcW w:type="dxa" w:w="1926"/>
            <w:tcMar>
              <w:top w:type="dxa" w:w="70"/>
              <w:left w:type="dxa" w:w="110"/>
              <w:bottom w:type="dxa" w:w="70"/>
              <w:right w:type="dxa" w:w="110"/>
            </w:tcMar>
          </w:tcPr>
          <w:p>
            <w:r>
              <w:rPr>
                <w:rFonts w:ascii="Verdana" w:cs="Verdana" w:eastAsia="Verdana" w:hAnsi="Verdana"/>
                <w:b w:val="false"/>
                <w:bCs w:val="false"/>
                <w:color w:val="1F2A37"/>
                <w:sz w:val="19"/>
                <w:szCs w:val="19"/>
              </w:rPr>
              <w:t xml:space="preserve">61.184 €</w:t>
            </w:r>
          </w:p>
        </w:tc>
      </w:tr>
      <w:tr>
        <w:trPr>
          <w:cantSplit/>
        </w:trPr>
        <w:tc>
          <w:tcPr>
            <w:tcW w:type="dxa" w:w="3300"/>
            <w:tcMar>
              <w:top w:type="dxa" w:w="70"/>
              <w:left w:type="dxa" w:w="110"/>
              <w:bottom w:type="dxa" w:w="70"/>
              <w:right w:type="dxa" w:w="110"/>
            </w:tcMar>
          </w:tcPr>
          <w:p>
            <w:r>
              <w:rPr>
                <w:rFonts w:ascii="Verdana" w:cs="Verdana" w:eastAsia="Verdana" w:hAnsi="Verdana"/>
                <w:b w:val="false"/>
                <w:bCs w:val="false"/>
                <w:color w:val="1F2A37"/>
                <w:sz w:val="19"/>
                <w:szCs w:val="19"/>
              </w:rPr>
              <w:t xml:space="preserve">Reddito medio uomini</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129.687 €</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133.509 €</w:t>
            </w:r>
          </w:p>
        </w:tc>
        <w:tc>
          <w:tcPr>
            <w:tcW w:type="dxa" w:w="1926"/>
            <w:tcMar>
              <w:top w:type="dxa" w:w="70"/>
              <w:left w:type="dxa" w:w="110"/>
              <w:bottom w:type="dxa" w:w="70"/>
              <w:right w:type="dxa" w:w="110"/>
            </w:tcMar>
          </w:tcPr>
          <w:p>
            <w:r>
              <w:rPr>
                <w:rFonts w:ascii="Verdana" w:cs="Verdana" w:eastAsia="Verdana" w:hAnsi="Verdana"/>
                <w:b w:val="false"/>
                <w:bCs w:val="false"/>
                <w:color w:val="1F2A37"/>
                <w:sz w:val="19"/>
                <w:szCs w:val="19"/>
              </w:rPr>
              <w:t xml:space="preserve">115.046 €</w:t>
            </w:r>
          </w:p>
        </w:tc>
      </w:tr>
      <w:tr>
        <w:trPr>
          <w:cantSplit/>
        </w:trPr>
        <w:tc>
          <w:tcPr>
            <w:tcW w:type="dxa" w:w="3300"/>
            <w:tcMar>
              <w:top w:type="dxa" w:w="70"/>
              <w:left w:type="dxa" w:w="110"/>
              <w:bottom w:type="dxa" w:w="70"/>
              <w:right w:type="dxa" w:w="110"/>
            </w:tcMar>
          </w:tcPr>
          <w:p>
            <w:r>
              <w:rPr>
                <w:rFonts w:ascii="Verdana" w:cs="Verdana" w:eastAsia="Verdana" w:hAnsi="Verdana"/>
                <w:b w:val="false"/>
                <w:bCs w:val="false"/>
                <w:color w:val="1F2A37"/>
                <w:sz w:val="19"/>
                <w:szCs w:val="19"/>
              </w:rPr>
              <w:t xml:space="preserve">Divario di reddito, redditi 2024</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54,3%</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48,2%</w:t>
            </w:r>
          </w:p>
        </w:tc>
        <w:tc>
          <w:tcPr>
            <w:tcW w:type="dxa" w:w="1926"/>
            <w:tcMar>
              <w:top w:type="dxa" w:w="70"/>
              <w:left w:type="dxa" w:w="110"/>
              <w:bottom w:type="dxa" w:w="70"/>
              <w:right w:type="dxa" w:w="110"/>
            </w:tcMar>
          </w:tcPr>
          <w:p>
            <w:r>
              <w:rPr>
                <w:rFonts w:ascii="Verdana" w:cs="Verdana" w:eastAsia="Verdana" w:hAnsi="Verdana"/>
                <w:b w:val="false"/>
                <w:bCs w:val="false"/>
                <w:color w:val="1F2A37"/>
                <w:sz w:val="19"/>
                <w:szCs w:val="19"/>
              </w:rPr>
              <w:t xml:space="preserve">46,8%</w:t>
            </w:r>
          </w:p>
        </w:tc>
      </w:tr>
      <w:tr>
        <w:trPr>
          <w:cantSplit/>
        </w:trPr>
        <w:tc>
          <w:tcPr>
            <w:tcW w:type="dxa" w:w="3300"/>
            <w:tcMar>
              <w:top w:type="dxa" w:w="70"/>
              <w:left w:type="dxa" w:w="110"/>
              <w:bottom w:type="dxa" w:w="70"/>
              <w:right w:type="dxa" w:w="110"/>
            </w:tcMar>
          </w:tcPr>
          <w:p>
            <w:r>
              <w:rPr>
                <w:rFonts w:ascii="Verdana" w:cs="Verdana" w:eastAsia="Verdana" w:hAnsi="Verdana"/>
                <w:b w:val="false"/>
                <w:bCs w:val="false"/>
                <w:color w:val="1F2A37"/>
                <w:sz w:val="19"/>
                <w:szCs w:val="19"/>
              </w:rPr>
              <w:t xml:space="preserve">Divario di reddito, redditi 2023</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49,2%</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47,8%</w:t>
            </w:r>
          </w:p>
        </w:tc>
        <w:tc>
          <w:tcPr>
            <w:tcW w:type="dxa" w:w="1926"/>
            <w:tcMar>
              <w:top w:type="dxa" w:w="70"/>
              <w:left w:type="dxa" w:w="110"/>
              <w:bottom w:type="dxa" w:w="70"/>
              <w:right w:type="dxa" w:w="110"/>
            </w:tcMar>
          </w:tcPr>
          <w:p>
            <w:r>
              <w:rPr>
                <w:rFonts w:ascii="Verdana" w:cs="Verdana" w:eastAsia="Verdana" w:hAnsi="Verdana"/>
                <w:b w:val="false"/>
                <w:bCs w:val="false"/>
                <w:color w:val="1F2A37"/>
                <w:sz w:val="19"/>
                <w:szCs w:val="19"/>
              </w:rPr>
              <w:t xml:space="preserve">46,2%</w:t>
            </w:r>
          </w:p>
        </w:tc>
      </w:tr>
      <w:tr>
        <w:trPr>
          <w:cantSplit/>
        </w:trPr>
        <w:tc>
          <w:tcPr>
            <w:tcW w:type="dxa" w:w="3300"/>
            <w:tcMar>
              <w:top w:type="dxa" w:w="70"/>
              <w:left w:type="dxa" w:w="110"/>
              <w:bottom w:type="dxa" w:w="70"/>
              <w:right w:type="dxa" w:w="110"/>
            </w:tcMar>
          </w:tcPr>
          <w:p>
            <w:r>
              <w:rPr>
                <w:rFonts w:ascii="Verdana" w:cs="Verdana" w:eastAsia="Verdana" w:hAnsi="Verdana"/>
                <w:b w:val="false"/>
                <w:bCs w:val="false"/>
                <w:color w:val="1F2A37"/>
                <w:sz w:val="19"/>
                <w:szCs w:val="19"/>
              </w:rPr>
              <w:t xml:space="preserve">Divario di volume d’affari, 2024</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57,0%</w:t>
            </w:r>
          </w:p>
        </w:tc>
        <w:tc>
          <w:tcPr>
            <w:tcW w:type="dxa" w:w="1900"/>
            <w:tcMar>
              <w:top w:type="dxa" w:w="70"/>
              <w:left w:type="dxa" w:w="110"/>
              <w:bottom w:type="dxa" w:w="70"/>
              <w:right w:type="dxa" w:w="110"/>
            </w:tcMar>
          </w:tcPr>
          <w:p>
            <w:r>
              <w:rPr>
                <w:rFonts w:ascii="Verdana" w:cs="Verdana" w:eastAsia="Verdana" w:hAnsi="Verdana"/>
                <w:b w:val="false"/>
                <w:bCs w:val="false"/>
                <w:color w:val="1F2A37"/>
                <w:sz w:val="19"/>
                <w:szCs w:val="19"/>
              </w:rPr>
              <w:t xml:space="preserve">52,2%</w:t>
            </w:r>
          </w:p>
        </w:tc>
        <w:tc>
          <w:tcPr>
            <w:tcW w:type="dxa" w:w="1926"/>
            <w:tcMar>
              <w:top w:type="dxa" w:w="70"/>
              <w:left w:type="dxa" w:w="110"/>
              <w:bottom w:type="dxa" w:w="70"/>
              <w:right w:type="dxa" w:w="110"/>
            </w:tcMar>
          </w:tcPr>
          <w:p>
            <w:r>
              <w:rPr>
                <w:rFonts w:ascii="Verdana" w:cs="Verdana" w:eastAsia="Verdana" w:hAnsi="Verdana"/>
                <w:b w:val="false"/>
                <w:bCs w:val="false"/>
                <w:color w:val="1F2A37"/>
                <w:sz w:val="19"/>
                <w:szCs w:val="19"/>
              </w:rPr>
              <w:t xml:space="preserve">50,9%</w:t>
            </w:r>
          </w:p>
        </w:tc>
      </w:tr>
    </w:tbl>
    <w:p>
      <w:pPr>
        <w:spacing w:after="140" w:line="360"/>
      </w:pPr>
      <w:r>
        <w:rPr>
          <w:rFonts w:ascii="Verdana" w:cs="Verdana" w:eastAsia="Verdana" w:hAnsi="Verdana"/>
          <w:color w:val="1F2A37"/>
          <w:sz w:val="22"/>
          <w:szCs w:val="22"/>
        </w:rPr>
        <w:t xml:space="preserve">A Forlì una professionista guadagna in media meno della metà di un collega. In un anno il reddito medio degli uomini è cresciuto dell’11,9%, quello delle donne dello 0,5%: il divario è salito di 5 punti e oggi supera la media regionale e nazionale.</w:t>
      </w:r>
    </w:p>
    <w:p>
      <w:pPr>
        <w:pStyle w:val="Heading2"/>
        <w:keepNext/>
        <w:spacing w:after="140" w:before="300"/>
      </w:pPr>
      <w:r>
        <w:rPr>
          <w:rFonts w:ascii="Verdana" w:cs="Verdana" w:eastAsia="Verdana" w:hAnsi="Verdana"/>
          <w:b/>
          <w:bCs/>
          <w:color w:val="2E5E8C"/>
          <w:sz w:val="25"/>
          <w:szCs w:val="25"/>
        </w:rPr>
        <w:t xml:space="preserve">Il divario per età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tblHeader/>
        </w:trPr>
        <w:tc>
          <w:tcPr>
            <w:tcW w:type="dxa" w:w="38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Reddito delle donne in % di quello degli uomini</w:t>
            </w:r>
          </w:p>
        </w:tc>
        <w:tc>
          <w:tcPr>
            <w:tcW w:type="dxa" w:w="17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Forlì</w:t>
            </w:r>
          </w:p>
        </w:tc>
        <w:tc>
          <w:tcPr>
            <w:tcW w:type="dxa" w:w="17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Emilia-Romagna</w:t>
            </w:r>
          </w:p>
        </w:tc>
        <w:tc>
          <w:tcPr>
            <w:tcW w:type="dxa" w:w="18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Italia</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Fino a 30</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133%</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93%</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90%</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31-40</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73%</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66%</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69%</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41-50</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63%</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55%</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57%</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51-65</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46%</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52%</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52%</w:t>
            </w:r>
          </w:p>
        </w:tc>
      </w:tr>
      <w:tr>
        <w:trPr>
          <w:cantSplit/>
        </w:trPr>
        <w:tc>
          <w:tcPr>
            <w:tcW w:type="dxa" w:w="3800"/>
            <w:tcMar>
              <w:top w:type="dxa" w:w="70"/>
              <w:left w:type="dxa" w:w="110"/>
              <w:bottom w:type="dxa" w:w="70"/>
              <w:right w:type="dxa" w:w="110"/>
            </w:tcMar>
          </w:tcPr>
          <w:p>
            <w:r>
              <w:rPr>
                <w:rFonts w:ascii="Verdana" w:cs="Verdana" w:eastAsia="Verdana" w:hAnsi="Verdana"/>
                <w:b w:val="false"/>
                <w:bCs w:val="false"/>
                <w:color w:val="1F2A37"/>
                <w:sz w:val="19"/>
                <w:szCs w:val="19"/>
              </w:rPr>
              <w:t xml:space="preserve">Oltre 65</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49%</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61%</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87%</w:t>
            </w:r>
          </w:p>
        </w:tc>
      </w:tr>
    </w:tbl>
    <w:p>
      <w:pPr>
        <w:spacing w:after="140" w:line="360"/>
      </w:pPr>
      <w:r>
        <w:rPr>
          <w:rFonts w:ascii="Verdana" w:cs="Verdana" w:eastAsia="Verdana" w:hAnsi="Verdana"/>
          <w:color w:val="1F2A37"/>
          <w:sz w:val="22"/>
          <w:szCs w:val="22"/>
        </w:rPr>
        <w:t xml:space="preserve">Fino a 50 anni le professioniste di Forlì stanno meglio che in regione e in Italia. Il divario complessivo così alto nasce soprattutto tra i 51 e i 65 anni, dove si concentrano gli uomini con i redditi più alti, e dal fatto che le donne iscritte sono più giovani. Il problema non è tanto l’ingresso nella professione, quanto la crescita a metà carriera.</w:t>
      </w:r>
    </w:p>
    <w:p>
      <w:pPr>
        <w:pStyle w:val="Heading2"/>
        <w:keepNext/>
        <w:spacing w:after="140" w:before="300"/>
      </w:pPr>
      <w:r>
        <w:rPr>
          <w:rFonts w:ascii="Verdana" w:cs="Verdana" w:eastAsia="Verdana" w:hAnsi="Verdana"/>
          <w:b/>
          <w:bCs/>
          <w:color w:val="2E5E8C"/>
          <w:sz w:val="25"/>
          <w:szCs w:val="25"/>
        </w:rPr>
        <w:t xml:space="preserve">Cassa Ragionieri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tblHeader/>
        </w:trPr>
        <w:tc>
          <w:tcPr>
            <w:tcW w:type="dxa" w:w="38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Iscritti CNPR di Forlì</w:t>
            </w:r>
          </w:p>
        </w:tc>
        <w:tc>
          <w:tcPr>
            <w:tcW w:type="dxa" w:w="17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17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c>
          <w:tcPr>
            <w:tcW w:type="dxa" w:w="18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Divario</w:t>
            </w:r>
          </w:p>
        </w:tc>
      </w:tr>
      <w:tr>
        <w:trPr>
          <w:cantSplit/>
        </w:trPr>
        <w:tc>
          <w:tcPr>
            <w:tcW w:type="dxa" w:w="38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8, reddito e volume d’affari medi per genere ed età]</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7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8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pStyle w:val="Heading1"/>
        <w:pageBreakBefore/>
        <w:spacing w:after="200"/>
      </w:pPr>
      <w:r>
        <w:rPr>
          <w:rFonts w:ascii="Verdana" w:cs="Verdana" w:eastAsia="Verdana" w:hAnsi="Verdana"/>
          <w:b/>
          <w:bCs/>
          <w:color w:val="2E5E8C"/>
          <w:sz w:val="32"/>
          <w:szCs w:val="32"/>
        </w:rPr>
        <w:t xml:space="preserve">8. Formazione e conciliazione</w:t>
      </w:r>
    </w:p>
    <w:p>
      <w:pPr>
        <w:pStyle w:val="Heading2"/>
        <w:keepNext/>
        <w:spacing w:after="140" w:before="300"/>
      </w:pPr>
      <w:r>
        <w:rPr>
          <w:rFonts w:ascii="Verdana" w:cs="Verdana" w:eastAsia="Verdana" w:hAnsi="Verdana"/>
          <w:b/>
          <w:bCs/>
          <w:color w:val="2E5E8C"/>
          <w:sz w:val="25"/>
          <w:szCs w:val="25"/>
        </w:rPr>
        <w:t xml:space="preserve">Relatrici e relatori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400"/>
        <w:gridCol w:w="1400"/>
        <w:gridCol w:w="1500"/>
        <w:gridCol w:w="1626"/>
      </w:tblGrid>
      <w:tr>
        <w:trPr>
          <w:tblHeader/>
        </w:trPr>
        <w:tc>
          <w:tcPr>
            <w:tcW w:type="dxa" w:w="18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Anno</w:t>
            </w:r>
          </w:p>
        </w:tc>
        <w:tc>
          <w:tcPr>
            <w:tcW w:type="dxa" w:w="13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Eventi</w:t>
            </w:r>
          </w:p>
        </w:tc>
        <w:tc>
          <w:tcPr>
            <w:tcW w:type="dxa" w:w="14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Relatrici</w:t>
            </w:r>
          </w:p>
        </w:tc>
        <w:tc>
          <w:tcPr>
            <w:tcW w:type="dxa" w:w="14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Relatori</w:t>
            </w:r>
          </w:p>
        </w:tc>
        <w:tc>
          <w:tcPr>
            <w:tcW w:type="dxa" w:w="15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relatrici</w:t>
            </w:r>
          </w:p>
        </w:tc>
        <w:tc>
          <w:tcPr>
            <w:tcW w:type="dxa" w:w="16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Panel di soli uomini</w:t>
            </w:r>
          </w:p>
        </w:tc>
      </w:tr>
      <w:tr>
        <w:trPr>
          <w:cantSplit/>
        </w:trPr>
        <w:tc>
          <w:tcPr>
            <w:tcW w:type="dxa" w:w="18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4, eventi 2025]</w:t>
            </w:r>
          </w:p>
        </w:tc>
        <w:tc>
          <w:tcPr>
            <w:tcW w:type="dxa" w:w="13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4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4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5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6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pStyle w:val="Heading2"/>
        <w:keepNext/>
        <w:spacing w:after="140" w:before="300"/>
      </w:pPr>
      <w:r>
        <w:rPr>
          <w:rFonts w:ascii="Verdana" w:cs="Verdana" w:eastAsia="Verdana" w:hAnsi="Verdana"/>
          <w:b/>
          <w:bCs/>
          <w:color w:val="2E5E8C"/>
          <w:sz w:val="25"/>
          <w:szCs w:val="25"/>
        </w:rPr>
        <w:t xml:space="preserve">Esoneri dalla formazione per maternità, paternità e cura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Motivo</w:t>
            </w:r>
          </w:p>
        </w:tc>
        <w:tc>
          <w:tcPr>
            <w:tcW w:type="dxa" w:w="25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25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r>
      <w:tr>
        <w:trPr>
          <w:cantSplit/>
        </w:trPr>
        <w:tc>
          <w:tcPr>
            <w:tcW w:type="dxa" w:w="4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5]</w:t>
            </w:r>
          </w:p>
        </w:tc>
        <w:tc>
          <w:tcPr>
            <w:tcW w:type="dxa" w:w="25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5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spacing w:after="140" w:line="360"/>
      </w:pPr>
      <w:r>
        <w:rPr>
          <w:rFonts w:ascii="Verdana" w:cs="Verdana" w:eastAsia="Verdana" w:hAnsi="Verdana"/>
          <w:color w:val="1F2A37"/>
          <w:sz w:val="22"/>
          <w:szCs w:val="22"/>
        </w:rPr>
        <w:t xml:space="preserve">Questi dati dicono quanto il lavoro di cura pesa ancora sulle donne della professione. Il confronto con le indennità di maternità e paternità della Cassa completerà il quadro nel bilancio 2026.</w:t>
      </w:r>
    </w:p>
    <w:p>
      <w:pPr>
        <w:pStyle w:val="Heading1"/>
        <w:pageBreakBefore/>
        <w:spacing w:after="200"/>
      </w:pPr>
      <w:r>
        <w:rPr>
          <w:rFonts w:ascii="Verdana" w:cs="Verdana" w:eastAsia="Verdana" w:hAnsi="Verdana"/>
          <w:b/>
          <w:bCs/>
          <w:color w:val="2E5E8C"/>
          <w:sz w:val="32"/>
          <w:szCs w:val="32"/>
        </w:rPr>
        <w:t xml:space="preserve">9. Incarichi e cariche: una parte nuova</w:t>
      </w:r>
    </w:p>
    <w:p>
      <w:pPr>
        <w:spacing w:after="140" w:line="360"/>
      </w:pPr>
      <w:r>
        <w:rPr>
          <w:rFonts w:ascii="Verdana" w:cs="Verdana" w:eastAsia="Verdana" w:hAnsi="Verdana"/>
          <w:color w:val="1F2A37"/>
          <w:sz w:val="22"/>
          <w:szCs w:val="22"/>
        </w:rPr>
        <w:t xml:space="preserve">Le Linee guida suggeriscono di guardare oltre l’Albo: chi riceve gli incarichi dal Tribunale e dagli organismi di composizione della crisi, chi siede nei collegi sindacali delle imprese. Pochi Ordini lo fanno (Reggio Emilia, Venezia, Parma). Noi aggiungiamo, dove possibile, anche il valore degli incarichi e non solo il numero.</w:t>
      </w:r>
    </w:p>
    <w:p>
      <w:pPr>
        <w:pStyle w:val="Heading2"/>
        <w:keepNext/>
        <w:spacing w:after="140" w:before="300"/>
      </w:pPr>
      <w:r>
        <w:rPr>
          <w:rFonts w:ascii="Verdana" w:cs="Verdana" w:eastAsia="Verdana" w:hAnsi="Verdana"/>
          <w:b/>
          <w:bCs/>
          <w:color w:val="2E5E8C"/>
          <w:sz w:val="25"/>
          <w:szCs w:val="25"/>
        </w:rPr>
        <w:t xml:space="preserve">Tribunale di Forlì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026"/>
      </w:tblGrid>
      <w:tr>
        <w:trPr>
          <w:tblHeader/>
        </w:trPr>
        <w:tc>
          <w:tcPr>
            <w:tcW w:type="dxa" w:w="38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Tipo di incarico 2021-2025</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c>
          <w:tcPr>
            <w:tcW w:type="dxa" w:w="2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w:t>
            </w:r>
          </w:p>
        </w:tc>
      </w:tr>
      <w:tr>
        <w:trPr>
          <w:cantSplit/>
        </w:trPr>
        <w:tc>
          <w:tcPr>
            <w:tcW w:type="dxa" w:w="38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9: curatele, liquidazioni, CTU, custodie, delegati alle vendite]</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pStyle w:val="Heading2"/>
        <w:keepNext/>
        <w:spacing w:after="140" w:before="300"/>
      </w:pPr>
      <w:r>
        <w:rPr>
          <w:rFonts w:ascii="Verdana" w:cs="Verdana" w:eastAsia="Verdana" w:hAnsi="Verdana"/>
          <w:b/>
          <w:bCs/>
          <w:color w:val="2E5E8C"/>
          <w:sz w:val="25"/>
          <w:szCs w:val="25"/>
        </w:rPr>
        <w:t xml:space="preserve">OCC Romagna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026"/>
      </w:tblGrid>
      <w:tr>
        <w:trPr>
          <w:tblHeader/>
        </w:trPr>
        <w:tc>
          <w:tcPr>
            <w:tcW w:type="dxa" w:w="38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Gestori iscritti a Forlì e incarichi 2021-2025</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c>
          <w:tcPr>
            <w:tcW w:type="dxa" w:w="2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w:t>
            </w:r>
          </w:p>
        </w:tc>
      </w:tr>
      <w:tr>
        <w:trPr>
          <w:cantSplit/>
        </w:trPr>
        <w:tc>
          <w:tcPr>
            <w:tcW w:type="dxa" w:w="38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10]</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pStyle w:val="Heading2"/>
        <w:keepNext/>
        <w:spacing w:after="140" w:before="300"/>
      </w:pPr>
      <w:r>
        <w:rPr>
          <w:rFonts w:ascii="Verdana" w:cs="Verdana" w:eastAsia="Verdana" w:hAnsi="Verdana"/>
          <w:b/>
          <w:bCs/>
          <w:color w:val="2E5E8C"/>
          <w:sz w:val="25"/>
          <w:szCs w:val="25"/>
        </w:rPr>
        <w:t xml:space="preserve">Collegi sindacali e revisione nelle imprese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026"/>
      </w:tblGrid>
      <w:tr>
        <w:trPr>
          <w:tblHeader/>
        </w:trPr>
        <w:tc>
          <w:tcPr>
            <w:tcW w:type="dxa" w:w="38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Carica al 31/12/2025</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Donne</w:t>
            </w:r>
          </w:p>
        </w:tc>
        <w:tc>
          <w:tcPr>
            <w:tcW w:type="dxa" w:w="16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Uomini</w:t>
            </w:r>
          </w:p>
        </w:tc>
        <w:tc>
          <w:tcPr>
            <w:tcW w:type="dxa" w:w="2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donne</w:t>
            </w:r>
          </w:p>
        </w:tc>
      </w:tr>
      <w:tr>
        <w:trPr>
          <w:cantSplit/>
        </w:trPr>
        <w:tc>
          <w:tcPr>
            <w:tcW w:type="dxa" w:w="38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11, Camera di Commercio della Romagna]</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16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spacing w:after="140" w:line="360"/>
      </w:pPr>
      <w:r>
        <w:rPr>
          <w:rFonts w:ascii="Verdana" w:cs="Verdana" w:eastAsia="Verdana" w:hAnsi="Verdana"/>
          <w:color w:val="1F2A37"/>
          <w:sz w:val="22"/>
          <w:szCs w:val="22"/>
        </w:rPr>
        <w:t xml:space="preserve">Se i dati non arriveranno in tempo, questa parte sarà completata nel bilancio 2026 e resterà qui come impegno.</w:t>
      </w:r>
    </w:p>
    <w:p>
      <w:pPr>
        <w:pStyle w:val="Heading1"/>
        <w:pageBreakBefore/>
        <w:spacing w:after="200"/>
      </w:pPr>
      <w:r>
        <w:rPr>
          <w:rFonts w:ascii="Verdana" w:cs="Verdana" w:eastAsia="Verdana" w:hAnsi="Verdana"/>
          <w:b/>
          <w:bCs/>
          <w:color w:val="2E5E8C"/>
          <w:sz w:val="32"/>
          <w:szCs w:val="32"/>
        </w:rPr>
        <w:t xml:space="preserve">10. Le spese dell’Ordine con la lente di genere</w:t>
      </w:r>
    </w:p>
    <w:p>
      <w:pPr>
        <w:spacing w:after="140" w:line="360"/>
      </w:pPr>
      <w:r>
        <w:rPr>
          <w:rFonts w:ascii="Verdana" w:cs="Verdana" w:eastAsia="Verdana" w:hAnsi="Verdana"/>
          <w:color w:val="1F2A37"/>
          <w:sz w:val="22"/>
          <w:szCs w:val="22"/>
        </w:rPr>
        <w:t xml:space="preserve">È il cuore del “gender budgeting” secondo il Consiglio d’Europa, ripreso dalle Linee guida, ma nei 17 bilanci di Ordini che abbiamo esaminato nessuno lo applica. Dividiamo le spese del consuntivo 2025 in tre gruppi:</w:t>
      </w:r>
    </w:p>
    <w:p>
      <w:pPr>
        <w:pStyle w:val="ListParagraph"/>
        <w:numPr>
          <w:ilvl w:val="0"/>
          <w:numId w:val="2"/>
        </w:numPr>
        <w:spacing w:after="80" w:line="340"/>
      </w:pPr>
      <w:r>
        <w:rPr>
          <w:rFonts w:ascii="Verdana" w:cs="Verdana" w:eastAsia="Verdana" w:hAnsi="Verdana"/>
          <w:color w:val="1F2A37"/>
          <w:sz w:val="22"/>
          <w:szCs w:val="22"/>
        </w:rPr>
        <w:t xml:space="preserve">neutre: non toccano in modo diverso donne e uomini (affitto, utenze, software, quote al Consiglio Nazionale);</w:t>
      </w:r>
    </w:p>
    <w:p>
      <w:pPr>
        <w:pStyle w:val="ListParagraph"/>
        <w:numPr>
          <w:ilvl w:val="0"/>
          <w:numId w:val="2"/>
        </w:numPr>
        <w:spacing w:after="80" w:line="340"/>
      </w:pPr>
      <w:r>
        <w:rPr>
          <w:rFonts w:ascii="Verdana" w:cs="Verdana" w:eastAsia="Verdana" w:hAnsi="Verdana"/>
          <w:color w:val="1F2A37"/>
          <w:sz w:val="22"/>
          <w:szCs w:val="22"/>
        </w:rPr>
        <w:t xml:space="preserve">sensibili: hanno effetti diversi su donne e uomini a seconda di come sono organizzate (formazione, eventi, servizi agli iscritti, comunicazione);</w:t>
      </w:r>
    </w:p>
    <w:p>
      <w:pPr>
        <w:pStyle w:val="ListParagraph"/>
        <w:numPr>
          <w:ilvl w:val="0"/>
          <w:numId w:val="2"/>
        </w:numPr>
        <w:spacing w:after="80" w:line="340"/>
      </w:pPr>
      <w:r>
        <w:rPr>
          <w:rFonts w:ascii="Verdana" w:cs="Verdana" w:eastAsia="Verdana" w:hAnsi="Verdana"/>
          <w:color w:val="1F2A37"/>
          <w:sz w:val="22"/>
          <w:szCs w:val="22"/>
        </w:rPr>
        <w:t xml:space="preserve">dirette a ridurre le diseguaglianze: attività del CPO, agevolazioni per maternità e cura.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Gruppo</w:t>
            </w:r>
          </w:p>
        </w:tc>
        <w:tc>
          <w:tcPr>
            <w:tcW w:type="dxa" w:w="25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Importo 2025</w:t>
            </w:r>
          </w:p>
        </w:tc>
        <w:tc>
          <w:tcPr>
            <w:tcW w:type="dxa" w:w="25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 sul totale</w:t>
            </w:r>
          </w:p>
        </w:tc>
      </w:tr>
      <w:tr>
        <w:trPr>
          <w:cantSplit/>
        </w:trPr>
        <w:tc>
          <w:tcPr>
            <w:tcW w:type="dxa" w:w="4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7, consuntivo per capitolo dalla Tesoriera]</w:t>
            </w:r>
          </w:p>
        </w:tc>
        <w:tc>
          <w:tcPr>
            <w:tcW w:type="dxa" w:w="25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2526"/>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r>
    </w:tbl>
    <w:p>
      <w:pPr>
        <w:pStyle w:val="Heading1"/>
        <w:pageBreakBefore/>
        <w:spacing w:after="200"/>
      </w:pPr>
      <w:r>
        <w:rPr>
          <w:rFonts w:ascii="Verdana" w:cs="Verdana" w:eastAsia="Verdana" w:hAnsi="Verdana"/>
          <w:b/>
          <w:bCs/>
          <w:color w:val="2E5E8C"/>
          <w:sz w:val="32"/>
          <w:szCs w:val="32"/>
        </w:rPr>
        <w:t xml:space="preserve">11. La voce degli iscritti: il questionario</w:t>
      </w:r>
    </w:p>
    <w:p>
      <w:pPr>
        <w:spacing w:after="140" w:line="360"/>
      </w:pPr>
      <w:r>
        <w:rPr>
          <w:rFonts w:ascii="Verdana" w:cs="Verdana" w:eastAsia="Verdana" w:hAnsi="Verdana"/>
          <w:color w:val="1F2A37"/>
          <w:sz w:val="22"/>
          <w:szCs w:val="22"/>
        </w:rPr>
        <w:t xml:space="preserve">Il questionario breve chiede di conciliazione tra lavoro e famiglia, di carriera, di esperienze di discriminazione e, per la prima volta tra i bilanci di genere degli Ordini che abbiamo esaminato, di DSA e inclusione. È anonimo e i risultati sono pubblicati solo in forma aggregata.</w:t>
      </w:r>
    </w:p>
    <w:p>
      <w:pPr>
        <w:spacing w:after="140" w:line="360"/>
      </w:pPr>
      <w:r>
        <w:rPr>
          <w:rFonts w:ascii="Verdana" w:cs="Verdana" w:eastAsia="Verdana" w:hAnsi="Verdana"/>
          <w:color w:val="1F2A37"/>
          <w:sz w:val="22"/>
          <w:szCs w:val="22"/>
          <w:shd w:fill="FFE873" w:color="auto" w:val="clear"/>
        </w:rPr>
        <w:t xml:space="preserve">[DA INTEGRARE: numero di risposte per genere, principali risultati, grafici]</w:t>
      </w:r>
    </w:p>
    <w:p>
      <w:pPr>
        <w:pStyle w:val="Heading1"/>
        <w:pageBreakBefore/>
        <w:spacing w:after="200"/>
      </w:pPr>
      <w:r>
        <w:rPr>
          <w:rFonts w:ascii="Verdana" w:cs="Verdana" w:eastAsia="Verdana" w:hAnsi="Verdana"/>
          <w:b/>
          <w:bCs/>
          <w:color w:val="2E5E8C"/>
          <w:sz w:val="32"/>
          <w:szCs w:val="32"/>
        </w:rPr>
        <w:t xml:space="preserve">12. Obiettivi per il 2027</w:t>
      </w:r>
    </w:p>
    <w:p>
      <w:pPr>
        <w:spacing w:after="140" w:line="360"/>
      </w:pPr>
      <w:r>
        <w:rPr>
          <w:rFonts w:ascii="Verdana" w:cs="Verdana" w:eastAsia="Verdana" w:hAnsi="Verdana"/>
          <w:color w:val="1F2A37"/>
          <w:sz w:val="22"/>
          <w:szCs w:val="22"/>
        </w:rPr>
        <w:t xml:space="preserve">Nessuno dei bilanci che abbiamo esaminato fissa obiettivi numerici da verificare l’anno dopo. Noi proviamo: ogni obiettivo ha un indicatore, il valore di partenza e un semaforo che nel bilancio 2026 dirà se l’abbiamo raggiunto. Gli obiettivi sono una proposta del CPO da condividere con il Consiglio.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000"/>
        <w:gridCol w:w="2026"/>
      </w:tblGrid>
      <w:tr>
        <w:trPr>
          <w:tblHeader/>
        </w:trPr>
        <w:tc>
          <w:tcPr>
            <w:tcW w:type="dxa" w:w="23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Obiettivo</w:t>
            </w:r>
          </w:p>
        </w:tc>
        <w:tc>
          <w:tcPr>
            <w:tcW w:type="dxa" w:w="27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Indicatore</w:t>
            </w:r>
          </w:p>
        </w:tc>
        <w:tc>
          <w:tcPr>
            <w:tcW w:type="dxa" w:w="20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Partenza 2025</w:t>
            </w:r>
          </w:p>
        </w:tc>
        <w:tc>
          <w:tcPr>
            <w:tcW w:type="dxa" w:w="20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Traguardo 2027</w:t>
            </w:r>
          </w:p>
        </w:tc>
      </w:tr>
      <w:tr>
        <w:trPr>
          <w:cantSplit/>
        </w:trPr>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Bilancio completo</w:t>
            </w:r>
          </w:p>
        </w:tc>
        <w:tc>
          <w:tcPr>
            <w:tcW w:type="dxa" w:w="2700"/>
            <w:tcMar>
              <w:top w:type="dxa" w:w="70"/>
              <w:left w:type="dxa" w:w="110"/>
              <w:bottom w:type="dxa" w:w="70"/>
              <w:right w:type="dxa" w:w="110"/>
            </w:tcMar>
          </w:tcPr>
          <w:p>
            <w:r>
              <w:rPr>
                <w:rFonts w:ascii="Verdana" w:cs="Verdana" w:eastAsia="Verdana" w:hAnsi="Verdana"/>
                <w:b w:val="false"/>
                <w:bCs w:val="false"/>
                <w:color w:val="1F2A37"/>
                <w:sz w:val="19"/>
                <w:szCs w:val="19"/>
              </w:rPr>
              <w:t xml:space="preserve">Contenuti minimi delle Linee guida coperti</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circa 50% nel 2024</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100%</w:t>
            </w:r>
          </w:p>
        </w:tc>
      </w:tr>
      <w:tr>
        <w:trPr>
          <w:cantSplit/>
        </w:trPr>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Più relatrici</w:t>
            </w:r>
          </w:p>
        </w:tc>
        <w:tc>
          <w:tcPr>
            <w:tcW w:type="dxa" w:w="2700"/>
            <w:tcMar>
              <w:top w:type="dxa" w:w="70"/>
              <w:left w:type="dxa" w:w="110"/>
              <w:bottom w:type="dxa" w:w="70"/>
              <w:right w:type="dxa" w:w="110"/>
            </w:tcMar>
          </w:tcPr>
          <w:p>
            <w:r>
              <w:rPr>
                <w:rFonts w:ascii="Verdana" w:cs="Verdana" w:eastAsia="Verdana" w:hAnsi="Verdana"/>
                <w:b w:val="false"/>
                <w:bCs w:val="false"/>
                <w:color w:val="1F2A37"/>
                <w:sz w:val="19"/>
                <w:szCs w:val="19"/>
              </w:rPr>
              <w:t xml:space="preserve">% relatrici negli eventi dell’Ordine</w:t>
            </w:r>
          </w:p>
        </w:tc>
        <w:tc>
          <w:tcPr>
            <w:tcW w:type="dxa" w:w="2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4]</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almeno 40%</w:t>
            </w:r>
          </w:p>
        </w:tc>
      </w:tr>
      <w:tr>
        <w:trPr>
          <w:cantSplit/>
        </w:trPr>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Nessun panel di soli uomini</w:t>
            </w:r>
          </w:p>
        </w:tc>
        <w:tc>
          <w:tcPr>
            <w:tcW w:type="dxa" w:w="2700"/>
            <w:tcMar>
              <w:top w:type="dxa" w:w="70"/>
              <w:left w:type="dxa" w:w="110"/>
              <w:bottom w:type="dxa" w:w="70"/>
              <w:right w:type="dxa" w:w="110"/>
            </w:tcMar>
          </w:tcPr>
          <w:p>
            <w:r>
              <w:rPr>
                <w:rFonts w:ascii="Verdana" w:cs="Verdana" w:eastAsia="Verdana" w:hAnsi="Verdana"/>
                <w:b w:val="false"/>
                <w:bCs w:val="false"/>
                <w:color w:val="1F2A37"/>
                <w:sz w:val="19"/>
                <w:szCs w:val="19"/>
              </w:rPr>
              <w:t xml:space="preserve">Eventi con soli relatori uomini</w:t>
            </w:r>
          </w:p>
        </w:tc>
        <w:tc>
          <w:tcPr>
            <w:tcW w:type="dxa" w:w="2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4]</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0</w:t>
            </w:r>
          </w:p>
        </w:tc>
      </w:tr>
      <w:tr>
        <w:trPr>
          <w:cantSplit/>
        </w:trPr>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Il CPO ha risorse</w:t>
            </w:r>
          </w:p>
        </w:tc>
        <w:tc>
          <w:tcPr>
            <w:tcW w:type="dxa" w:w="2700"/>
            <w:tcMar>
              <w:top w:type="dxa" w:w="70"/>
              <w:left w:type="dxa" w:w="110"/>
              <w:bottom w:type="dxa" w:w="70"/>
              <w:right w:type="dxa" w:w="110"/>
            </w:tcMar>
          </w:tcPr>
          <w:p>
            <w:r>
              <w:rPr>
                <w:rFonts w:ascii="Verdana" w:cs="Verdana" w:eastAsia="Verdana" w:hAnsi="Verdana"/>
                <w:b w:val="false"/>
                <w:bCs w:val="false"/>
                <w:color w:val="1F2A37"/>
                <w:sz w:val="19"/>
                <w:szCs w:val="19"/>
              </w:rPr>
              <w:t xml:space="preserve">Budget assegnato</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nessuno</w:t>
            </w:r>
          </w:p>
        </w:tc>
        <w:tc>
          <w:tcPr>
            <w:tcW w:type="dxa" w:w="2026"/>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importo da concordare]</w:t>
            </w:r>
          </w:p>
        </w:tc>
      </w:tr>
      <w:tr>
        <w:trPr>
          <w:cantSplit/>
        </w:trPr>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Ascoltare gli iscritti</w:t>
            </w:r>
          </w:p>
        </w:tc>
        <w:tc>
          <w:tcPr>
            <w:tcW w:type="dxa" w:w="2700"/>
            <w:tcMar>
              <w:top w:type="dxa" w:w="70"/>
              <w:left w:type="dxa" w:w="110"/>
              <w:bottom w:type="dxa" w:w="70"/>
              <w:right w:type="dxa" w:w="110"/>
            </w:tcMar>
          </w:tcPr>
          <w:p>
            <w:r>
              <w:rPr>
                <w:rFonts w:ascii="Verdana" w:cs="Verdana" w:eastAsia="Verdana" w:hAnsi="Verdana"/>
                <w:b w:val="false"/>
                <w:bCs w:val="false"/>
                <w:color w:val="1F2A37"/>
                <w:sz w:val="19"/>
                <w:szCs w:val="19"/>
              </w:rPr>
              <w:t xml:space="preserve">Risposte al questionario</w:t>
            </w:r>
          </w:p>
        </w:tc>
        <w:tc>
          <w:tcPr>
            <w:tcW w:type="dxa" w:w="2000"/>
            <w:tcMar>
              <w:top w:type="dxa" w:w="70"/>
              <w:left w:type="dxa" w:w="110"/>
              <w:bottom w:type="dxa" w:w="70"/>
              <w:right w:type="dxa" w:w="110"/>
            </w:tcMar>
          </w:tcPr>
          <w:p>
            <w:r>
              <w:rPr>
                <w:rFonts w:ascii="Verdana" w:cs="Verdana" w:eastAsia="Verdana" w:hAnsi="Verdana"/>
                <w:color w:val="1F2A37"/>
                <w:sz w:val="22"/>
                <w:szCs w:val="22"/>
                <w:shd w:fill="FFE873" w:color="auto" w:val="clear"/>
              </w:rPr>
              <w:t xml:space="preserve">[DA INTEGRARE: dato del questionario]</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almeno 25% degli iscritti</w:t>
            </w:r>
          </w:p>
        </w:tc>
      </w:tr>
      <w:tr>
        <w:trPr>
          <w:cantSplit/>
        </w:trPr>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Divario di reddito</w:t>
            </w:r>
          </w:p>
        </w:tc>
        <w:tc>
          <w:tcPr>
            <w:tcW w:type="dxa" w:w="2700"/>
            <w:tcMar>
              <w:top w:type="dxa" w:w="70"/>
              <w:left w:type="dxa" w:w="110"/>
              <w:bottom w:type="dxa" w:w="70"/>
              <w:right w:type="dxa" w:w="110"/>
            </w:tcMar>
          </w:tcPr>
          <w:p>
            <w:r>
              <w:rPr>
                <w:rFonts w:ascii="Verdana" w:cs="Verdana" w:eastAsia="Verdana" w:hAnsi="Verdana"/>
                <w:b w:val="false"/>
                <w:bCs w:val="false"/>
                <w:color w:val="1F2A37"/>
                <w:sz w:val="19"/>
                <w:szCs w:val="19"/>
              </w:rPr>
              <w:t xml:space="preserve">Divario Forlì rispetto alla media regionale</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+6,1 punti</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sotto la media regionale entro il 2028</w:t>
            </w:r>
          </w:p>
        </w:tc>
      </w:tr>
      <w:tr>
        <w:trPr>
          <w:cantSplit/>
        </w:trPr>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Bilancio accessibile</w:t>
            </w:r>
          </w:p>
        </w:tc>
        <w:tc>
          <w:tcPr>
            <w:tcW w:type="dxa" w:w="2700"/>
            <w:tcMar>
              <w:top w:type="dxa" w:w="70"/>
              <w:left w:type="dxa" w:w="110"/>
              <w:bottom w:type="dxa" w:w="70"/>
              <w:right w:type="dxa" w:w="110"/>
            </w:tcMar>
          </w:tcPr>
          <w:p>
            <w:r>
              <w:rPr>
                <w:rFonts w:ascii="Verdana" w:cs="Verdana" w:eastAsia="Verdana" w:hAnsi="Verdana"/>
                <w:b w:val="false"/>
                <w:bCs w:val="false"/>
                <w:color w:val="1F2A37"/>
                <w:sz w:val="19"/>
                <w:szCs w:val="19"/>
              </w:rPr>
              <w:t xml:space="preserve">Sintesi facile da leggere e PDF per sintesi vocale</w:t>
            </w:r>
          </w:p>
        </w:tc>
        <w:tc>
          <w:tcPr>
            <w:tcW w:type="dxa" w:w="2000"/>
            <w:tcMar>
              <w:top w:type="dxa" w:w="70"/>
              <w:left w:type="dxa" w:w="110"/>
              <w:bottom w:type="dxa" w:w="70"/>
              <w:right w:type="dxa" w:w="110"/>
            </w:tcMar>
          </w:tcPr>
          <w:p>
            <w:r>
              <w:rPr>
                <w:rFonts w:ascii="Verdana" w:cs="Verdana" w:eastAsia="Verdana" w:hAnsi="Verdana"/>
                <w:b w:val="false"/>
                <w:bCs w:val="false"/>
                <w:color w:val="1F2A37"/>
                <w:sz w:val="19"/>
                <w:szCs w:val="19"/>
              </w:rPr>
              <w:t xml:space="preserve">sì (2025)</w:t>
            </w:r>
          </w:p>
        </w:tc>
        <w:tc>
          <w:tcPr>
            <w:tcW w:type="dxa" w:w="2026"/>
            <w:tcMar>
              <w:top w:type="dxa" w:w="70"/>
              <w:left w:type="dxa" w:w="110"/>
              <w:bottom w:type="dxa" w:w="70"/>
              <w:right w:type="dxa" w:w="110"/>
            </w:tcMar>
          </w:tcPr>
          <w:p>
            <w:r>
              <w:rPr>
                <w:rFonts w:ascii="Verdana" w:cs="Verdana" w:eastAsia="Verdana" w:hAnsi="Verdana"/>
                <w:b w:val="false"/>
                <w:bCs w:val="false"/>
                <w:color w:val="1F2A37"/>
                <w:sz w:val="19"/>
                <w:szCs w:val="19"/>
              </w:rPr>
              <w:t xml:space="preserve">sì, anche versione audio</w:t>
            </w:r>
          </w:p>
        </w:tc>
      </w:tr>
    </w:tbl>
    <w:p>
      <w:pPr>
        <w:spacing w:after="140" w:line="360"/>
      </w:pPr>
      <w:r>
        <w:rPr>
          <w:rFonts w:ascii="Verdana" w:cs="Verdana" w:eastAsia="Verdana" w:hAnsi="Verdana"/>
          <w:color w:val="1F2A37"/>
          <w:sz w:val="22"/>
          <w:szCs w:val="22"/>
        </w:rPr>
        <w:t xml:space="preserve">Il divario di reddito dipende da molti fattori fuori dal controllo dell’Ordine. Il CPO lo segue con azioni mirate alla fascia di metà carriera: formazione su specializzazioni e incarichi, mentoring, rete con la Consigliera di Parità.</w:t>
      </w:r>
    </w:p>
    <w:p>
      <w:pPr>
        <w:pStyle w:val="Heading1"/>
        <w:pageBreakBefore/>
        <w:spacing w:after="200"/>
      </w:pPr>
      <w:r>
        <w:rPr>
          <w:rFonts w:ascii="Verdana" w:cs="Verdana" w:eastAsia="Verdana" w:hAnsi="Verdana"/>
          <w:b/>
          <w:bCs/>
          <w:color w:val="2E5E8C"/>
          <w:sz w:val="32"/>
          <w:szCs w:val="32"/>
        </w:rPr>
        <w:t xml:space="preserve">13. Conclusioni</w:t>
      </w:r>
    </w:p>
    <w:p>
      <w:pPr>
        <w:spacing w:after="140" w:line="360"/>
      </w:pPr>
      <w:r>
        <w:rPr>
          <w:rFonts w:ascii="Verdana" w:cs="Verdana" w:eastAsia="Verdana" w:hAnsi="Verdana"/>
          <w:color w:val="1F2A37"/>
          <w:sz w:val="22"/>
          <w:szCs w:val="22"/>
        </w:rPr>
        <w:t xml:space="preserve">Forlì è un Ordine con molte donne, più giovani dei colleghi, e con un’ampia base di praticanti. La parità nei numeri è vicina. Non lo è nei redditi: il divario è alto e cresce, soprattutto a metà carriera. Non lo è ancora nella rappresentanza, anche se il nuovo Consiglio è guidato da una Presidente.</w:t>
      </w:r>
    </w:p>
    <w:p>
      <w:pPr>
        <w:spacing w:after="140" w:line="360"/>
      </w:pPr>
      <w:r>
        <w:rPr>
          <w:rFonts w:ascii="Verdana" w:cs="Verdana" w:eastAsia="Verdana" w:hAnsi="Verdana"/>
          <w:color w:val="1F2A37"/>
          <w:sz w:val="22"/>
          <w:szCs w:val="22"/>
        </w:rPr>
        <w:t xml:space="preserve">Con questo bilancio abbiamo voluto fare due passi in più: misurare dove si decidono le carriere (incarichi, cariche, formazione) e leggere con la lente di genere anche le spese dell’Ordine. Il prossimo anno sapremo se gli obiettivi fissati sono stati raggiunti.</w:t>
      </w:r>
    </w:p>
    <w:p>
      <w:pPr>
        <w:spacing w:after="140" w:line="360"/>
      </w:pPr>
      <w:r>
        <w:rPr>
          <w:rFonts w:ascii="Verdana" w:cs="Verdana" w:eastAsia="Verdana" w:hAnsi="Verdana"/>
          <w:color w:val="1F2A37"/>
          <w:sz w:val="22"/>
          <w:szCs w:val="22"/>
          <w:shd w:fill="FFE873" w:color="auto" w:val="clear"/>
        </w:rPr>
        <w:t xml:space="preserve">[DA INTEGRARE: data e firme dei componenti del CPO]</w:t>
      </w:r>
    </w:p>
    <w:p>
      <w:pPr>
        <w:pStyle w:val="Heading1"/>
        <w:pageBreakBefore/>
        <w:spacing w:after="200"/>
      </w:pPr>
      <w:r>
        <w:rPr>
          <w:rFonts w:ascii="Verdana" w:cs="Verdana" w:eastAsia="Verdana" w:hAnsi="Verdana"/>
          <w:b/>
          <w:bCs/>
          <w:color w:val="2E5E8C"/>
          <w:sz w:val="32"/>
          <w:szCs w:val="32"/>
        </w:rPr>
        <w:t xml:space="preserve">Appendice – Stato dei dati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300"/>
        <w:gridCol w:w="1726"/>
      </w:tblGrid>
      <w:tr>
        <w:trPr>
          <w:tblHeader/>
        </w:trPr>
        <w:tc>
          <w:tcPr>
            <w:tcW w:type="dxa" w:w="7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N.</w:t>
            </w:r>
          </w:p>
        </w:tc>
        <w:tc>
          <w:tcPr>
            <w:tcW w:type="dxa" w:w="43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Dato richiesto</w:t>
            </w:r>
          </w:p>
        </w:tc>
        <w:tc>
          <w:tcPr>
            <w:tcW w:type="dxa" w:w="2300"/>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A chi</w:t>
            </w:r>
          </w:p>
        </w:tc>
        <w:tc>
          <w:tcPr>
            <w:tcW w:type="dxa" w:w="1726"/>
            <w:shd w:fill="DCE7F2" w:color="auto" w:val="clear"/>
            <w:tcMar>
              <w:top w:type="dxa" w:w="70"/>
              <w:left w:type="dxa" w:w="110"/>
              <w:bottom w:type="dxa" w:w="70"/>
              <w:right w:type="dxa" w:w="110"/>
            </w:tcMar>
          </w:tcPr>
          <w:p>
            <w:r>
              <w:rPr>
                <w:rFonts w:ascii="Verdana" w:cs="Verdana" w:eastAsia="Verdana" w:hAnsi="Verdana"/>
                <w:b/>
                <w:bCs/>
                <w:color w:val="1F2A37"/>
                <w:sz w:val="19"/>
                <w:szCs w:val="19"/>
              </w:rPr>
              <w:t xml:space="preserve">Stato</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1</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Iscrizioni e cancellazioni 2021-2025</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Segreteria</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2</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Iscritti e praticanti per genere 2021-2023</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Segreteria</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3</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Consiglio, cariche, organi, commissioni</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Segreteria</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4</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Eventi formativi 2025, relatrici e relatori</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Segreteria</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5</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Esoneri per maternità, paternità e cura</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Segreteria</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6</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Budget CPO</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Consiglio</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7</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Consuntivo 2025 per capitolo</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Tesoriera</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8</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Redditi Cassa Ragionieri</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CNPR</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9</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Incarichi del Tribunale</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Tribunale di Forlì</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10</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Gestori e incarichi</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OCC Romagna</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11</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Sindaci e revisori</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Camera di Commercio</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r>
        <w:trPr>
          <w:cantSplit/>
        </w:trPr>
        <w:tc>
          <w:tcPr>
            <w:tcW w:type="dxa" w:w="700"/>
            <w:tcMar>
              <w:top w:type="dxa" w:w="70"/>
              <w:left w:type="dxa" w:w="110"/>
              <w:bottom w:type="dxa" w:w="70"/>
              <w:right w:type="dxa" w:w="110"/>
            </w:tcMar>
          </w:tcPr>
          <w:p>
            <w:r>
              <w:rPr>
                <w:rFonts w:ascii="Verdana" w:cs="Verdana" w:eastAsia="Verdana" w:hAnsi="Verdana"/>
                <w:b w:val="false"/>
                <w:bCs w:val="false"/>
                <w:color w:val="1F2A37"/>
                <w:sz w:val="19"/>
                <w:szCs w:val="19"/>
              </w:rPr>
              <w:t xml:space="preserve">–</w:t>
            </w:r>
          </w:p>
        </w:tc>
        <w:tc>
          <w:tcPr>
            <w:tcW w:type="dxa" w:w="4300"/>
            <w:tcMar>
              <w:top w:type="dxa" w:w="70"/>
              <w:left w:type="dxa" w:w="110"/>
              <w:bottom w:type="dxa" w:w="70"/>
              <w:right w:type="dxa" w:w="110"/>
            </w:tcMar>
          </w:tcPr>
          <w:p>
            <w:r>
              <w:rPr>
                <w:rFonts w:ascii="Verdana" w:cs="Verdana" w:eastAsia="Verdana" w:hAnsi="Verdana"/>
                <w:b w:val="false"/>
                <w:bCs w:val="false"/>
                <w:color w:val="1F2A37"/>
                <w:sz w:val="19"/>
                <w:szCs w:val="19"/>
              </w:rPr>
              <w:t xml:space="preserve">Questionario agli iscritti</w:t>
            </w:r>
          </w:p>
        </w:tc>
        <w:tc>
          <w:tcPr>
            <w:tcW w:type="dxa" w:w="2300"/>
            <w:tcMar>
              <w:top w:type="dxa" w:w="70"/>
              <w:left w:type="dxa" w:w="110"/>
              <w:bottom w:type="dxa" w:w="70"/>
              <w:right w:type="dxa" w:w="110"/>
            </w:tcMar>
          </w:tcPr>
          <w:p>
            <w:r>
              <w:rPr>
                <w:rFonts w:ascii="Verdana" w:cs="Verdana" w:eastAsia="Verdana" w:hAnsi="Verdana"/>
                <w:b w:val="false"/>
                <w:bCs w:val="false"/>
                <w:color w:val="1F2A37"/>
                <w:sz w:val="19"/>
                <w:szCs w:val="19"/>
              </w:rPr>
              <w:t xml:space="preserve">CPO</w:t>
            </w:r>
          </w:p>
        </w:tc>
        <w:tc>
          <w:tcPr>
            <w:tcW w:type="dxa" w:w="1726"/>
            <w:tcMar>
              <w:top w:type="dxa" w:w="70"/>
              <w:left w:type="dxa" w:w="110"/>
              <w:bottom w:type="dxa" w:w="70"/>
              <w:right w:type="dxa" w:w="110"/>
            </w:tcMar>
          </w:tcPr>
          <w:p>
            <w:r>
              <w:rPr>
                <w:rFonts w:ascii="Verdana" w:cs="Verdana" w:eastAsia="Verdana" w:hAnsi="Verdana"/>
                <w:b w:val="false"/>
                <w:bCs w:val="false"/>
                <w:color w:val="1F2A37"/>
                <w:sz w:val="19"/>
                <w:szCs w:val="19"/>
              </w:rPr>
              <w:t xml:space="preserve">in attesa</w:t>
            </w:r>
          </w:p>
        </w:tc>
      </w:tr>
    </w:tbl>
    <w:sectPr>
      <w:footerReference w:type="default" r:id="rId7"/>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Verdana" w:cs="Verdana" w:eastAsia="Verdana" w:hAnsi="Verdana"/>
        <w:color w:val="4B5563"/>
        <w:sz w:val="16"/>
        <w:szCs w:val="16"/>
      </w:rPr>
      <w:t xml:space="preserve">Bilancio di genere 2025 – ODCEC Forlì – pag. </w:t>
    </w:r>
    <w:r>
      <w:rPr>
        <w:rFonts w:ascii="Verdana" w:cs="Verdana" w:eastAsia="Verdana" w:hAnsi="Verdana"/>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80369d90b235fa1c7337667f87bab96a4392ef.png"/><Relationship Id="rId9" Type="http://schemas.openxmlformats.org/officeDocument/2006/relationships/image" Target="media/b3a24c56292724955f349306bbb0c892309286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Bilancio di genere 2025 – ODCEC Forlì</dc:title>
  <dc:creator>CPO ODCEC Forlì</dc:creator>
  <dc:description>Bozza di lavoro</dc:description>
  <cp:lastModifiedBy>Un-named</cp:lastModifiedBy>
  <cp:revision>1</cp:revision>
  <dcterms:created xsi:type="dcterms:W3CDTF">2026-10-06T05:52:18.319Z</dcterms:created>
  <dcterms:modified xsi:type="dcterms:W3CDTF">2026-10-06T05:52:18.320Z</dcterms:modified>
</cp:coreProperties>
</file>

<file path=docProps/custom.xml><?xml version="1.0" encoding="utf-8"?>
<Properties xmlns="http://schemas.openxmlformats.org/officeDocument/2006/custom-properties" xmlns:vt="http://schemas.openxmlformats.org/officeDocument/2006/docPropsVTypes"/>
</file>