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53A0" w:rsidRDefault="002C476B">
      <w:pPr>
        <w:spacing w:after="40"/>
        <w:jc w:val="center"/>
      </w:pPr>
      <w:r>
        <w:rPr>
          <w:b/>
          <w:color w:val="555555"/>
          <w:sz w:val="22"/>
        </w:rPr>
        <w:t>PROJECT REVIEW — I</w:t>
      </w:r>
    </w:p>
    <w:p w:rsidR="009553A0" w:rsidRDefault="002C476B" w:rsidP="002C476B">
      <w:pPr>
        <w:spacing w:before="120" w:after="40" w:line="276" w:lineRule="auto"/>
        <w:jc w:val="center"/>
      </w:pPr>
      <w:r>
        <w:rPr>
          <w:b/>
          <w:color w:val="1F3A5F"/>
          <w:sz w:val="32"/>
        </w:rPr>
        <w:t>AdaptIQ: An Explainable Adaptive Tutoring System for Data Structures and Algorithms Integrating Bayesian Knowledge Tracing with Semantic-Network Reasoning</w:t>
      </w:r>
    </w:p>
    <w:p w:rsidR="002C476B" w:rsidRDefault="002C476B" w:rsidP="002C476B">
      <w:pPr>
        <w:spacing w:before="120" w:after="40" w:line="276" w:lineRule="auto"/>
        <w:jc w:val="center"/>
      </w:pPr>
    </w:p>
    <w:tbl>
      <w:tblPr>
        <w:tblW w:w="0" w:type="auto"/>
        <w:jc w:val="center"/>
        <w:tblLook w:val="04A0" w:firstRow="1" w:lastRow="0" w:firstColumn="1" w:lastColumn="0" w:noHBand="0" w:noVBand="1"/>
      </w:tblPr>
      <w:tblGrid>
        <w:gridCol w:w="2448"/>
        <w:gridCol w:w="5760"/>
      </w:tblGrid>
      <w:tr w:rsidR="009553A0">
        <w:trPr>
          <w:jc w:val="center"/>
        </w:trPr>
        <w:tc>
          <w:tcPr>
            <w:tcW w:w="2448" w:type="dxa"/>
          </w:tcPr>
          <w:p w:rsidR="009553A0" w:rsidRDefault="002C476B">
            <w:pPr>
              <w:spacing w:after="40"/>
              <w:jc w:val="right"/>
            </w:pPr>
            <w:r>
              <w:rPr>
                <w:b/>
                <w:color w:val="1F3A5F"/>
                <w:sz w:val="21"/>
              </w:rPr>
              <w:t>Course</w:t>
            </w:r>
          </w:p>
        </w:tc>
        <w:tc>
          <w:tcPr>
            <w:tcW w:w="5760" w:type="dxa"/>
          </w:tcPr>
          <w:p w:rsidR="009553A0" w:rsidRDefault="002C476B">
            <w:pPr>
              <w:spacing w:after="40"/>
            </w:pPr>
            <w:r>
              <w:rPr>
                <w:sz w:val="21"/>
              </w:rPr>
              <w:t xml:space="preserve">   Artificial Intelli</w:t>
            </w:r>
            <w:r w:rsidR="00E23C91">
              <w:rPr>
                <w:sz w:val="21"/>
              </w:rPr>
              <w:t>gence Laboratory  (BITE308L</w:t>
            </w:r>
            <w:r>
              <w:rPr>
                <w:sz w:val="21"/>
              </w:rPr>
              <w:t>)</w:t>
            </w:r>
          </w:p>
        </w:tc>
      </w:tr>
      <w:tr w:rsidR="009553A0">
        <w:trPr>
          <w:jc w:val="center"/>
        </w:trPr>
        <w:tc>
          <w:tcPr>
            <w:tcW w:w="2448" w:type="dxa"/>
          </w:tcPr>
          <w:p w:rsidR="009553A0" w:rsidRDefault="002C476B">
            <w:pPr>
              <w:spacing w:after="40"/>
              <w:jc w:val="right"/>
            </w:pPr>
            <w:r>
              <w:rPr>
                <w:b/>
                <w:color w:val="1F3A5F"/>
                <w:sz w:val="21"/>
              </w:rPr>
              <w:t>Programme</w:t>
            </w:r>
          </w:p>
        </w:tc>
        <w:tc>
          <w:tcPr>
            <w:tcW w:w="5760" w:type="dxa"/>
          </w:tcPr>
          <w:p w:rsidR="009553A0" w:rsidRDefault="002C476B">
            <w:pPr>
              <w:spacing w:after="40"/>
            </w:pPr>
            <w:r>
              <w:rPr>
                <w:sz w:val="21"/>
              </w:rPr>
              <w:t xml:space="preserve">   B.Tech. — Information Technology</w:t>
            </w:r>
          </w:p>
        </w:tc>
      </w:tr>
      <w:tr w:rsidR="009553A0">
        <w:trPr>
          <w:jc w:val="center"/>
        </w:trPr>
        <w:tc>
          <w:tcPr>
            <w:tcW w:w="2448" w:type="dxa"/>
          </w:tcPr>
          <w:p w:rsidR="009553A0" w:rsidRDefault="002C476B">
            <w:pPr>
              <w:spacing w:after="40"/>
              <w:jc w:val="right"/>
            </w:pPr>
            <w:r>
              <w:rPr>
                <w:b/>
                <w:color w:val="1F3A5F"/>
                <w:sz w:val="21"/>
              </w:rPr>
              <w:t>Institution</w:t>
            </w:r>
          </w:p>
        </w:tc>
        <w:tc>
          <w:tcPr>
            <w:tcW w:w="5760" w:type="dxa"/>
          </w:tcPr>
          <w:p w:rsidR="009553A0" w:rsidRDefault="002C476B">
            <w:pPr>
              <w:spacing w:after="40"/>
            </w:pPr>
            <w:r>
              <w:rPr>
                <w:sz w:val="21"/>
              </w:rPr>
              <w:t xml:space="preserve">   Vellore Institute of Technology (VIT)</w:t>
            </w:r>
          </w:p>
        </w:tc>
      </w:tr>
      <w:tr w:rsidR="009553A0">
        <w:trPr>
          <w:jc w:val="center"/>
        </w:trPr>
        <w:tc>
          <w:tcPr>
            <w:tcW w:w="2448" w:type="dxa"/>
          </w:tcPr>
          <w:p w:rsidR="009553A0" w:rsidRDefault="00E23C91">
            <w:pPr>
              <w:spacing w:after="40"/>
              <w:jc w:val="right"/>
            </w:pPr>
            <w:r>
              <w:rPr>
                <w:b/>
                <w:color w:val="1F3A5F"/>
                <w:sz w:val="21"/>
              </w:rPr>
              <w:t>Team Members</w:t>
            </w:r>
          </w:p>
        </w:tc>
        <w:tc>
          <w:tcPr>
            <w:tcW w:w="5760" w:type="dxa"/>
          </w:tcPr>
          <w:p w:rsidR="009553A0" w:rsidRDefault="00E23C91" w:rsidP="00E23C91">
            <w:pPr>
              <w:spacing w:after="40"/>
              <w:rPr>
                <w:sz w:val="21"/>
              </w:rPr>
            </w:pPr>
            <w:r>
              <w:rPr>
                <w:sz w:val="21"/>
              </w:rPr>
              <w:t xml:space="preserve">   </w:t>
            </w:r>
            <w:proofErr w:type="spellStart"/>
            <w:r>
              <w:rPr>
                <w:sz w:val="21"/>
              </w:rPr>
              <w:t>Arijit</w:t>
            </w:r>
            <w:proofErr w:type="spellEnd"/>
            <w:r w:rsidR="002621AB">
              <w:rPr>
                <w:sz w:val="21"/>
              </w:rPr>
              <w:t xml:space="preserve"> Bhattacharyya</w:t>
            </w:r>
            <w:r>
              <w:rPr>
                <w:sz w:val="21"/>
              </w:rPr>
              <w:t xml:space="preserve"> – 24BIT0272</w:t>
            </w:r>
          </w:p>
          <w:p w:rsidR="00E23C91" w:rsidRDefault="00E23C91" w:rsidP="00E23C91">
            <w:pPr>
              <w:spacing w:after="40"/>
              <w:rPr>
                <w:sz w:val="21"/>
              </w:rPr>
            </w:pPr>
            <w:r>
              <w:rPr>
                <w:sz w:val="21"/>
              </w:rPr>
              <w:t xml:space="preserve">   </w:t>
            </w:r>
            <w:proofErr w:type="spellStart"/>
            <w:r>
              <w:rPr>
                <w:sz w:val="21"/>
              </w:rPr>
              <w:t>Debjit</w:t>
            </w:r>
            <w:proofErr w:type="spellEnd"/>
            <w:r>
              <w:rPr>
                <w:sz w:val="21"/>
              </w:rPr>
              <w:t xml:space="preserve"> </w:t>
            </w:r>
            <w:proofErr w:type="spellStart"/>
            <w:r>
              <w:rPr>
                <w:sz w:val="21"/>
              </w:rPr>
              <w:t>Dey</w:t>
            </w:r>
            <w:proofErr w:type="spellEnd"/>
            <w:r>
              <w:rPr>
                <w:sz w:val="21"/>
              </w:rPr>
              <w:t>- 24BIT0197</w:t>
            </w:r>
          </w:p>
          <w:p w:rsidR="00E23C91" w:rsidRDefault="00E23C91" w:rsidP="00E23C91">
            <w:pPr>
              <w:spacing w:after="40"/>
            </w:pPr>
            <w:r>
              <w:rPr>
                <w:sz w:val="21"/>
              </w:rPr>
              <w:t xml:space="preserve">   </w:t>
            </w:r>
            <w:proofErr w:type="spellStart"/>
            <w:r>
              <w:rPr>
                <w:sz w:val="21"/>
              </w:rPr>
              <w:t>Aman</w:t>
            </w:r>
            <w:proofErr w:type="spellEnd"/>
            <w:r>
              <w:rPr>
                <w:sz w:val="21"/>
              </w:rPr>
              <w:t xml:space="preserve"> Singh </w:t>
            </w:r>
            <w:proofErr w:type="spellStart"/>
            <w:r>
              <w:rPr>
                <w:sz w:val="21"/>
              </w:rPr>
              <w:t>Sachan</w:t>
            </w:r>
            <w:proofErr w:type="spellEnd"/>
            <w:r>
              <w:rPr>
                <w:sz w:val="21"/>
              </w:rPr>
              <w:t>- 24BIT0292</w:t>
            </w:r>
          </w:p>
        </w:tc>
      </w:tr>
      <w:tr w:rsidR="009553A0">
        <w:trPr>
          <w:jc w:val="center"/>
        </w:trPr>
        <w:tc>
          <w:tcPr>
            <w:tcW w:w="2448" w:type="dxa"/>
          </w:tcPr>
          <w:p w:rsidR="009553A0" w:rsidRDefault="002C476B">
            <w:pPr>
              <w:spacing w:after="40"/>
              <w:jc w:val="right"/>
            </w:pPr>
            <w:r>
              <w:rPr>
                <w:b/>
                <w:color w:val="1F3A5F"/>
                <w:sz w:val="21"/>
              </w:rPr>
              <w:t>Faculty Guide</w:t>
            </w:r>
          </w:p>
        </w:tc>
        <w:tc>
          <w:tcPr>
            <w:tcW w:w="5760" w:type="dxa"/>
          </w:tcPr>
          <w:p w:rsidR="009553A0" w:rsidRDefault="00E23C91">
            <w:pPr>
              <w:spacing w:after="40"/>
            </w:pPr>
            <w:r>
              <w:rPr>
                <w:sz w:val="21"/>
              </w:rPr>
              <w:t xml:space="preserve">   </w:t>
            </w:r>
            <w:proofErr w:type="spellStart"/>
            <w:r>
              <w:rPr>
                <w:sz w:val="21"/>
              </w:rPr>
              <w:t>Dr</w:t>
            </w:r>
            <w:proofErr w:type="spellEnd"/>
            <w:r>
              <w:rPr>
                <w:sz w:val="21"/>
              </w:rPr>
              <w:t xml:space="preserve"> </w:t>
            </w:r>
            <w:proofErr w:type="spellStart"/>
            <w:r>
              <w:rPr>
                <w:sz w:val="21"/>
              </w:rPr>
              <w:t>Tapan</w:t>
            </w:r>
            <w:proofErr w:type="spellEnd"/>
            <w:r>
              <w:rPr>
                <w:sz w:val="21"/>
              </w:rPr>
              <w:t xml:space="preserve"> Kumar Das</w:t>
            </w:r>
          </w:p>
        </w:tc>
      </w:tr>
      <w:tr w:rsidR="009553A0">
        <w:trPr>
          <w:jc w:val="center"/>
        </w:trPr>
        <w:tc>
          <w:tcPr>
            <w:tcW w:w="2448" w:type="dxa"/>
          </w:tcPr>
          <w:p w:rsidR="009553A0" w:rsidRDefault="002C476B">
            <w:pPr>
              <w:spacing w:after="40"/>
              <w:jc w:val="right"/>
            </w:pPr>
            <w:r>
              <w:rPr>
                <w:b/>
                <w:color w:val="1F3A5F"/>
                <w:sz w:val="21"/>
              </w:rPr>
              <w:t>Semester / Slot</w:t>
            </w:r>
          </w:p>
        </w:tc>
        <w:tc>
          <w:tcPr>
            <w:tcW w:w="5760" w:type="dxa"/>
          </w:tcPr>
          <w:p w:rsidR="009553A0" w:rsidRDefault="00E23C91">
            <w:pPr>
              <w:spacing w:after="40"/>
            </w:pPr>
            <w:r>
              <w:rPr>
                <w:sz w:val="21"/>
              </w:rPr>
              <w:t xml:space="preserve">   5</w:t>
            </w:r>
            <w:r w:rsidRPr="00E23C91">
              <w:rPr>
                <w:sz w:val="21"/>
                <w:vertAlign w:val="superscript"/>
              </w:rPr>
              <w:t>th</w:t>
            </w:r>
            <w:r>
              <w:rPr>
                <w:sz w:val="21"/>
              </w:rPr>
              <w:t xml:space="preserve"> </w:t>
            </w:r>
            <w:proofErr w:type="spellStart"/>
            <w:r>
              <w:rPr>
                <w:sz w:val="21"/>
              </w:rPr>
              <w:t>Semister</w:t>
            </w:r>
            <w:proofErr w:type="spellEnd"/>
            <w:r>
              <w:rPr>
                <w:sz w:val="21"/>
              </w:rPr>
              <w:t xml:space="preserve"> /  L27 + L28</w:t>
            </w:r>
          </w:p>
        </w:tc>
      </w:tr>
      <w:tr w:rsidR="009553A0">
        <w:trPr>
          <w:jc w:val="center"/>
        </w:trPr>
        <w:tc>
          <w:tcPr>
            <w:tcW w:w="2448" w:type="dxa"/>
          </w:tcPr>
          <w:p w:rsidR="009553A0" w:rsidRDefault="002C476B">
            <w:pPr>
              <w:spacing w:after="40"/>
              <w:jc w:val="right"/>
            </w:pPr>
            <w:r>
              <w:rPr>
                <w:b/>
                <w:color w:val="1F3A5F"/>
                <w:sz w:val="21"/>
              </w:rPr>
              <w:t>Date</w:t>
            </w:r>
          </w:p>
        </w:tc>
        <w:tc>
          <w:tcPr>
            <w:tcW w:w="5760" w:type="dxa"/>
          </w:tcPr>
          <w:p w:rsidR="009553A0" w:rsidRDefault="002C476B">
            <w:pPr>
              <w:spacing w:after="40"/>
            </w:pPr>
            <w:r>
              <w:rPr>
                <w:sz w:val="21"/>
              </w:rPr>
              <w:t xml:space="preserve">   </w:t>
            </w:r>
            <w:r w:rsidR="00E23C91">
              <w:rPr>
                <w:sz w:val="21"/>
              </w:rPr>
              <w:t>11</w:t>
            </w:r>
            <w:r w:rsidR="00E23C91" w:rsidRPr="00E23C91">
              <w:rPr>
                <w:sz w:val="21"/>
                <w:vertAlign w:val="superscript"/>
              </w:rPr>
              <w:t>th</w:t>
            </w:r>
            <w:r w:rsidR="00E23C91">
              <w:rPr>
                <w:sz w:val="21"/>
              </w:rPr>
              <w:t xml:space="preserve"> </w:t>
            </w:r>
            <w:r>
              <w:rPr>
                <w:sz w:val="21"/>
              </w:rPr>
              <w:t>September 2026</w:t>
            </w:r>
          </w:p>
        </w:tc>
      </w:tr>
    </w:tbl>
    <w:p w:rsidR="009553A0" w:rsidRDefault="009553A0">
      <w:pPr>
        <w:pBdr>
          <w:bottom w:val="single" w:sz="8" w:space="4" w:color="1F3A5F"/>
        </w:pBdr>
        <w:spacing w:before="160" w:after="80"/>
      </w:pPr>
    </w:p>
    <w:p w:rsidR="009553A0" w:rsidRDefault="002C476B">
      <w:pPr>
        <w:keepNext/>
        <w:pBdr>
          <w:bottom w:val="single" w:sz="6" w:space="4" w:color="1F3A5F"/>
        </w:pBdr>
        <w:spacing w:before="240" w:after="100"/>
      </w:pPr>
      <w:r>
        <w:rPr>
          <w:b/>
          <w:color w:val="1F3A5F"/>
          <w:sz w:val="26"/>
        </w:rPr>
        <w:t>Abstract</w:t>
      </w:r>
    </w:p>
    <w:p w:rsidR="009553A0" w:rsidRDefault="002C476B">
      <w:pPr>
        <w:jc w:val="both"/>
      </w:pPr>
      <w:r>
        <w:t>Mastering Data Structures and Algorithms (DSA) is central to computer-science education and to technical hiring, yet most learners rely on static resources — fixed question banks, video playlists, and problem sets — that neither adapt to an individual’s evolving understanding nor explain which topic should be studied next, or why. Modern adaptive-learning platforms partly address the first gap, but they typically expose only a progress bar while keeping the underlying student model opaque. This project presents AdaptIQ, an explainable adaptive tutoring system for DSA that couples symbolic knowledge representation with probabilistic student modelling. The domain is encoded as a prerequisite semantic network of DSA topics — each represented as a frame with slots for concepts, common misconceptions, difficulty, and ontological relations — over which the system performs graph reasoning (transitive prerequisites, topological ordering, and eligibility) to decide what a learner is ready to attempt. Learner mastery is modelled with Bayesian Knowledge Tracing (BKT), a dynamic Bayesian network that maintains a probabilistic estimate of mastery for every topic and revises it after each response using Bayes’ rule together with a temporal learning transition. A planner links these components — selecting the next question and sequencing a personalised, prerequisite-respecting learning path — while an explanation layer renders every decision as a human-readable reasoning trace (“why this question,” “why this topic is still locked,” and the current mastery estimate). The outcome is a transparent, glass-box tutor that not only adapts to the learner but justifies</w:t>
      </w:r>
      <w:r w:rsidR="005010E1">
        <w:t xml:space="preserve"> its adaptation. This document </w:t>
      </w:r>
      <w:r>
        <w:t>establishes the motivation, defines the problem, and frames the objectives and scope of the proposed system.</w:t>
      </w:r>
    </w:p>
    <w:p w:rsidR="009553A0" w:rsidRDefault="002C476B">
      <w:pPr>
        <w:keepNext/>
        <w:pBdr>
          <w:bottom w:val="single" w:sz="6" w:space="4" w:color="1F3A5F"/>
        </w:pBdr>
        <w:spacing w:before="240" w:after="100"/>
      </w:pPr>
      <w:r>
        <w:rPr>
          <w:b/>
          <w:color w:val="1F3A5F"/>
          <w:sz w:val="26"/>
        </w:rPr>
        <w:lastRenderedPageBreak/>
        <w:t>1.  Introduction</w:t>
      </w:r>
    </w:p>
    <w:p w:rsidR="009553A0" w:rsidRDefault="002C476B">
      <w:pPr>
        <w:jc w:val="both"/>
      </w:pPr>
      <w:r>
        <w:t>Data Structures and Algorithms form the conceptual backbone of computer science: they underpin almost every downstream subject and dominate the technical-interview process for internships and placements. Despite this centrality, the way most students learn DSA remains strikingly non-adaptive. Learners work through static question banks, curated video playlists, and generic problem sets that present the same material, in the same order, to everyone. Such resources are largely blind to the learner’s current state: they do not track which concepts an individual has actually mastered, they rarely enforce the prerequisite structure of the subject (for example, attempting dynamic programming before recursion is understood), and they offer little insight into why a particular next step is being recommended.</w:t>
      </w:r>
    </w:p>
    <w:p w:rsidR="009553A0" w:rsidRDefault="002C476B">
      <w:pPr>
        <w:jc w:val="both"/>
      </w:pPr>
      <w:r>
        <w:t>Intelligent Tutoring Systems (ITS) were conceived precisely to close this gap. At the heart of an ITS is a student model — an internal, continuously updated representation of what the learner knows — that drives personalised instruction. A landmark technique in this tradition is Bayesian Knowledge Tracing, introduced by Corbett and Anderson (1995) in the context of the Cognitive Tutor, which frames mastery of a skill as a hidden state inferred from a sequence of observed responses. Knowledge-tracing and mastery-based models of this kind now underpin many contemporary adaptive-learning platforms. In most deployed systems, however, the student model is treated as an internal black box: the learner sees a mastery bar or a recommendation, but not the reasoning behind it. This opacity limits trust, weakens the pedagogical value of the feedback, and makes such systems difficult to study or defend — the learner is told what to do next, but never why.</w:t>
      </w:r>
    </w:p>
    <w:p w:rsidR="009553A0" w:rsidRDefault="002C476B">
      <w:pPr>
        <w:jc w:val="both"/>
      </w:pPr>
      <w:r>
        <w:t>AdaptIQ is proposed as an explainable adaptive tutor for DSA that treats transparency as a first-class design goal rather than an afterthought. It deliberately combines two complementary styles of artificial intelligence. A symbolic layer represents the domain as a prerequisite semantic network and a small ontology, with each topic and each question modelled as a frame; graph reasoning over this network determines eligibility and produces valid learning orders. A probabilistic layer, built on Bayesian Knowledge Tracing, maintains an evidence-based estimate of the learner’s mastery of each topic and updates it after every answer. A planner couples the two — choosing the next question and sequencing a personalised path — and an explanation layer converts each decision into a concise, human-readable justification. This hybrid of symbolic reasoning and probabilistic inference maps naturally onto the core themes of the artificial-intelligence syllabus, from knowledge representation and logical inference to reasoning under uncertainty, planning, and learning.</w:t>
      </w:r>
    </w:p>
    <w:p w:rsidR="009553A0" w:rsidRDefault="002C476B">
      <w:pPr>
        <w:jc w:val="both"/>
      </w:pPr>
      <w:proofErr w:type="spellStart"/>
      <w:r>
        <w:t>Adapt</w:t>
      </w:r>
      <w:bookmarkStart w:id="0" w:name="_GoBack"/>
      <w:bookmarkEnd w:id="0"/>
      <w:r>
        <w:t>IQ</w:t>
      </w:r>
      <w:proofErr w:type="spellEnd"/>
      <w:r>
        <w:t xml:space="preserve"> performs knowledge tracing at the level of topics and questions; it does not attempt step-by-step model tracing within a single multi-step problem, as</w:t>
      </w:r>
      <w:r w:rsidR="002621AB">
        <w:t xml:space="preserve"> in classical Cognitive Tutors.</w:t>
      </w:r>
    </w:p>
    <w:p w:rsidR="009553A0" w:rsidRDefault="002C476B">
      <w:pPr>
        <w:keepNext/>
        <w:pBdr>
          <w:bottom w:val="single" w:sz="6" w:space="4" w:color="1F3A5F"/>
        </w:pBdr>
        <w:spacing w:before="240" w:after="100"/>
      </w:pPr>
      <w:r>
        <w:rPr>
          <w:b/>
          <w:color w:val="1F3A5F"/>
          <w:sz w:val="26"/>
        </w:rPr>
        <w:t>2.  Problem Statement</w:t>
      </w:r>
    </w:p>
    <w:p w:rsidR="009553A0" w:rsidRDefault="002C476B">
      <w:pPr>
        <w:jc w:val="both"/>
      </w:pPr>
      <w:r>
        <w:t xml:space="preserve">Learners of Data Structures and Algorithms lack a tool that simultaneously (i) encodes the prerequisite structure of the domain, (ii) maintains an evolving, evidence-based estimate of the learner’s mastery of each topic, (iii) uses both of these to decide what should be studied or attempted </w:t>
      </w:r>
      <w:r>
        <w:lastRenderedPageBreak/>
        <w:t>next, and (iv) explains each of these decisions in terms a learner can understand. Existing resources address at most one or two of these requirements and generally operate as opaque systems: static question banks ignore the learner’s state entirely, while adaptive platforms that do model the learner keep that model hidden and enforce prerequisites only implicitly. The problem this project addresses is therefore the design of an adaptive DSA tutor that is at once prerequisite-aware, evidence-driven, and — above all — explainable.</w:t>
      </w:r>
    </w:p>
    <w:p w:rsidR="009553A0" w:rsidRDefault="002C476B">
      <w:pPr>
        <w:spacing w:before="80" w:after="80"/>
      </w:pPr>
      <w:r>
        <w:rPr>
          <w:b/>
          <w:color w:val="1F3A5F"/>
        </w:rPr>
        <w:t>2.1  Objectives</w:t>
      </w:r>
    </w:p>
    <w:p w:rsidR="009553A0" w:rsidRDefault="002C476B">
      <w:pPr>
        <w:pStyle w:val="ListNumber"/>
        <w:spacing w:after="60"/>
        <w:jc w:val="both"/>
      </w:pPr>
      <w:r>
        <w:t>Represent the DSA domain as a prerequisite semantic network and a small ontology using frames, and implement, from scratch, the graph reasoning required over it — transitive prerequisites, topological (learning-order) sorting, cycle detection, and eligibility checking.</w:t>
      </w:r>
    </w:p>
    <w:p w:rsidR="009553A0" w:rsidRDefault="002C476B">
      <w:pPr>
        <w:pStyle w:val="ListNumber"/>
        <w:spacing w:after="60"/>
        <w:jc w:val="both"/>
      </w:pPr>
      <w:r>
        <w:t>Model each learner’s per-topic mastery using Bayesian Knowledge Tracing, formulated as a dynamic Bayesian network, updating the mastery belief after every response via Bayes’ rule and a temporal learning transition.</w:t>
      </w:r>
    </w:p>
    <w:p w:rsidR="009553A0" w:rsidRDefault="002C476B">
      <w:pPr>
        <w:pStyle w:val="ListNumber"/>
        <w:spacing w:after="60"/>
        <w:jc w:val="both"/>
      </w:pPr>
      <w:r>
        <w:t>Design an adaptive planner that selects the next question and sequences a personalised, prerequisite-respecting learning path, and that replans as the mastery estimates change.</w:t>
      </w:r>
    </w:p>
    <w:p w:rsidR="009553A0" w:rsidRDefault="002C476B">
      <w:pPr>
        <w:pStyle w:val="ListNumber"/>
        <w:spacing w:after="60"/>
        <w:jc w:val="both"/>
      </w:pPr>
      <w:r>
        <w:t>Provide an explanation layer that turns every recommendation and every lock/unlock decision into a human-readable reasoning trace, including the current mastery probabilities.</w:t>
      </w:r>
    </w:p>
    <w:p w:rsidR="009553A0" w:rsidRDefault="002C476B">
      <w:pPr>
        <w:pStyle w:val="ListNumber"/>
        <w:spacing w:after="60"/>
        <w:jc w:val="both"/>
      </w:pPr>
      <w:r>
        <w:t>Validate the system through instrumented self-use and unit tests on the mastery dynamics, and, in a later phase, fit the BKT parameters to logged attempt data by maximum likelihood.</w:t>
      </w:r>
    </w:p>
    <w:p w:rsidR="009553A0" w:rsidRDefault="002C476B">
      <w:pPr>
        <w:spacing w:before="120" w:after="80"/>
      </w:pPr>
      <w:r>
        <w:rPr>
          <w:b/>
          <w:color w:val="1F3A5F"/>
        </w:rPr>
        <w:t>2.2  Scope and Assumptions</w:t>
      </w:r>
    </w:p>
    <w:p w:rsidR="009553A0" w:rsidRDefault="002C476B">
      <w:pPr>
        <w:pStyle w:val="ListBullet"/>
        <w:spacing w:after="60"/>
        <w:jc w:val="both"/>
      </w:pPr>
      <w:r>
        <w:t>Assessment uses conceptual multiple-choice questions, which provide the clean binary observation the BKT update requires; open-ended coding with automatic judging is outside the scope of the core system.</w:t>
      </w:r>
    </w:p>
    <w:p w:rsidR="009553A0" w:rsidRDefault="002C476B">
      <w:pPr>
        <w:pStyle w:val="ListBullet"/>
        <w:spacing w:after="60"/>
        <w:jc w:val="both"/>
      </w:pPr>
      <w:r>
        <w:t>The system performs knowledge tracing at the level of topics and questions. Step-by-step model tracing within a single multi-step problem is deliberately excluded from the core and recorded as a possible future extension.</w:t>
      </w:r>
    </w:p>
    <w:p w:rsidR="009553A0" w:rsidRDefault="002C476B">
      <w:pPr>
        <w:pStyle w:val="ListBullet"/>
        <w:spacing w:after="60"/>
        <w:jc w:val="both"/>
      </w:pPr>
      <w:r>
        <w:t>Initial BKT parameters (prior knowledge, learning, slip, and guess) are expert-set per topic for the first version; data-driven parameter estimation is scheduled for a later phase.</w:t>
      </w:r>
    </w:p>
    <w:sectPr w:rsidR="009553A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21AB"/>
    <w:rsid w:val="0029639D"/>
    <w:rsid w:val="002C476B"/>
    <w:rsid w:val="00326F90"/>
    <w:rsid w:val="005010E1"/>
    <w:rsid w:val="009553A0"/>
    <w:rsid w:val="00AA1D8D"/>
    <w:rsid w:val="00B47730"/>
    <w:rsid w:val="00CB0664"/>
    <w:rsid w:val="00E23C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eastAsia="Times New Roman" w:hAnsi="Times New Roman"/>
      <w:color w:val="1A1A1A"/>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eastAsia="Times New Roman" w:hAnsi="Times New Roman"/>
      <w:color w:val="1A1A1A"/>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F0CBD0-3BA8-4142-A2E5-06FCCADE7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1185</Words>
  <Characters>6759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5</cp:revision>
  <dcterms:created xsi:type="dcterms:W3CDTF">2013-12-23T23:15:00Z</dcterms:created>
  <dcterms:modified xsi:type="dcterms:W3CDTF">2026-09-11T03:41:00Z</dcterms:modified>
  <cp:category/>
</cp:coreProperties>
</file>