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77DCA" w14:textId="77777777" w:rsidR="008D6BF2" w:rsidRPr="0012787A" w:rsidRDefault="00BF4D8B" w:rsidP="008D0212">
      <w:pPr>
        <w:rPr>
          <w:b/>
          <w:bCs/>
        </w:rPr>
      </w:pPr>
      <w:r>
        <w:rPr>
          <w:b/>
          <w:bCs/>
        </w:rPr>
        <w:t xml:space="preserve"> </w:t>
      </w:r>
      <w:r w:rsidR="008D0212" w:rsidRPr="0012787A">
        <w:rPr>
          <w:b/>
          <w:bCs/>
        </w:rPr>
        <w:t>Версия: Промышленная электроника</w:t>
      </w:r>
    </w:p>
    <w:p w14:paraId="4CE19E7A" w14:textId="77777777" w:rsidR="00635DCA" w:rsidRDefault="00635DCA" w:rsidP="004A1B60">
      <w:pPr>
        <w:ind w:firstLine="708"/>
      </w:pPr>
      <w:r>
        <w:t xml:space="preserve">Современные производственные процессы </w:t>
      </w:r>
      <w:r w:rsidR="001063A8">
        <w:t>осуществляются</w:t>
      </w:r>
      <w:r>
        <w:t xml:space="preserve"> с применением множества различных станков, состояние которых для обеспечения качества и безопасности производства необходимо своевременно контролировать, то есть требуется передача телеметрической информации оператору производства. </w:t>
      </w:r>
    </w:p>
    <w:p w14:paraId="06897DF9" w14:textId="77777777" w:rsidR="001063A8" w:rsidRDefault="001063A8" w:rsidP="004A1B60">
      <w:pPr>
        <w:ind w:firstLine="708"/>
      </w:pPr>
      <w:r>
        <w:t>Данная информация может передаваться различными способами в соответствии со спецификой производства. Классически телеметрия передаётся с помощью беспроводной локальной сети (</w:t>
      </w:r>
      <w:r>
        <w:rPr>
          <w:lang w:val="en-US"/>
        </w:rPr>
        <w:t>WLAN</w:t>
      </w:r>
      <w:r w:rsidRPr="001063A8">
        <w:t>)</w:t>
      </w:r>
      <w:r>
        <w:t>, либо по проводной локальной сети (</w:t>
      </w:r>
      <w:r>
        <w:rPr>
          <w:lang w:val="en-US"/>
        </w:rPr>
        <w:t>Ethernet</w:t>
      </w:r>
      <w:r>
        <w:t>)</w:t>
      </w:r>
      <w:r w:rsidRPr="001063A8">
        <w:t xml:space="preserve">, </w:t>
      </w:r>
      <w:r>
        <w:t xml:space="preserve">либо по другим проводным стандартам связи. </w:t>
      </w:r>
    </w:p>
    <w:p w14:paraId="63B27027" w14:textId="77777777" w:rsidR="00F06D09" w:rsidRDefault="004A0C76" w:rsidP="00F06D09">
      <w:pPr>
        <w:ind w:firstLine="708"/>
      </w:pPr>
      <w:r>
        <w:t xml:space="preserve">Наиболее простым в данном случае является применение </w:t>
      </w:r>
      <w:r>
        <w:rPr>
          <w:lang w:val="en-US"/>
        </w:rPr>
        <w:t>WLAN</w:t>
      </w:r>
      <w:r w:rsidRPr="004A0C76">
        <w:t xml:space="preserve">, </w:t>
      </w:r>
      <w:r>
        <w:t>так как не требует организации никакой дополнительной инфраструктуры на предприятии.</w:t>
      </w:r>
      <w:r w:rsidR="0030213B">
        <w:t xml:space="preserve"> Однако п</w:t>
      </w:r>
      <w:r w:rsidR="00522E64">
        <w:t>роблемой беспроводной передачи яв</w:t>
      </w:r>
      <w:r w:rsidR="0030213B">
        <w:t xml:space="preserve">ляется безопасность - </w:t>
      </w:r>
      <w:r w:rsidR="00522E64">
        <w:t xml:space="preserve">возможность хакерской атаки, либо промышленной диверсии. </w:t>
      </w:r>
      <w:r w:rsidR="0030213B">
        <w:t xml:space="preserve">При этом если от хакерской атаки можно обезопасить систему с помощью надёжного шифрования доступа в сеть, то для организации диверсии достаточно разрушить связь по </w:t>
      </w:r>
      <w:r w:rsidR="0030213B">
        <w:rPr>
          <w:lang w:val="en-US"/>
        </w:rPr>
        <w:t>WLAN</w:t>
      </w:r>
      <w:r w:rsidR="0030213B" w:rsidRPr="0030213B">
        <w:t xml:space="preserve"> </w:t>
      </w:r>
      <w:r w:rsidR="0030213B">
        <w:t>с помощью постановщика помех. Тем самым надёжность беспроводной связи изначально невысока.</w:t>
      </w:r>
    </w:p>
    <w:p w14:paraId="4F8578EF" w14:textId="77777777" w:rsidR="004072BB" w:rsidRDefault="00F06D09" w:rsidP="0090125A">
      <w:pPr>
        <w:ind w:firstLine="708"/>
      </w:pPr>
      <w:r>
        <w:t>Проводные системы</w:t>
      </w:r>
      <w:r w:rsidR="00522E64">
        <w:t xml:space="preserve"> лишены недостатков прошлого варианта</w:t>
      </w:r>
      <w:r w:rsidR="004072BB">
        <w:t>,</w:t>
      </w:r>
      <w:r w:rsidR="00946BAF">
        <w:t xml:space="preserve"> так как</w:t>
      </w:r>
      <w:r w:rsidR="00522E64">
        <w:t xml:space="preserve"> они представляют собой </w:t>
      </w:r>
      <w:r w:rsidR="00DA32F4">
        <w:t>внутреннюю проводную сеть предприятия</w:t>
      </w:r>
      <w:r w:rsidR="004072BB">
        <w:t>, которая может не иметь выхода в глобальную се</w:t>
      </w:r>
      <w:r w:rsidR="0040419B">
        <w:t>ть.</w:t>
      </w:r>
      <w:r w:rsidR="004072BB">
        <w:t xml:space="preserve"> Также проводная линия физически защищена от несанкционированного доступа</w:t>
      </w:r>
      <w:r w:rsidR="0040419B">
        <w:t>,</w:t>
      </w:r>
      <w:r w:rsidR="004072BB">
        <w:t xml:space="preserve"> так как требует непосред</w:t>
      </w:r>
      <w:r w:rsidR="0040419B">
        <w:t xml:space="preserve">ственное контактное подключение. </w:t>
      </w:r>
    </w:p>
    <w:p w14:paraId="4E7D50D3" w14:textId="77777777" w:rsidR="004A1B60" w:rsidRDefault="00F06D09" w:rsidP="0090125A">
      <w:pPr>
        <w:ind w:firstLine="708"/>
      </w:pPr>
      <w:r>
        <w:t>Проблема данной системы заключается в организации такой сети. Большое количество проводов и необходимость их обслуживания делают затруднительным переоборудование уже существующих, а в</w:t>
      </w:r>
      <w:r w:rsidR="0040419B">
        <w:t xml:space="preserve"> особенности старых предприятий, под такую систему телеметрии. </w:t>
      </w:r>
    </w:p>
    <w:p w14:paraId="38928CFD" w14:textId="77777777" w:rsidR="00327F44" w:rsidRPr="00BF4D8B" w:rsidRDefault="0040419B" w:rsidP="0040419B">
      <w:pPr>
        <w:ind w:firstLine="708"/>
      </w:pPr>
      <w:r>
        <w:lastRenderedPageBreak/>
        <w:t xml:space="preserve">В данной работе рассматривается вариант применения технологии </w:t>
      </w:r>
      <w:r>
        <w:rPr>
          <w:lang w:val="en-US"/>
        </w:rPr>
        <w:t>PLC</w:t>
      </w:r>
      <w:r>
        <w:t xml:space="preserve">, предполагающий передачу телеметрической информации непосредственно по сетям электропитания одновременно с основной гармоникой сети электропитания. </w:t>
      </w:r>
      <w:r w:rsidR="003C794D">
        <w:t>Отправка телеметрии по сетям электропитания</w:t>
      </w:r>
      <w:r w:rsidR="00DA32F4">
        <w:t xml:space="preserve"> обеспечивает безопасность</w:t>
      </w:r>
      <w:r>
        <w:t xml:space="preserve"> и </w:t>
      </w:r>
      <w:r w:rsidR="00DA32F4">
        <w:t>может быть реализована в уже имеющихся на предприятии условиях</w:t>
      </w:r>
      <w:r w:rsidR="003C794D">
        <w:t xml:space="preserve">. </w:t>
      </w:r>
    </w:p>
    <w:p w14:paraId="693793AF" w14:textId="77777777" w:rsidR="00D30057" w:rsidRPr="00D30057" w:rsidRDefault="00D30057" w:rsidP="00D30057">
      <w:pPr>
        <w:ind w:firstLine="708"/>
        <w:rPr>
          <w:rFonts w:eastAsia="Calibri"/>
        </w:rPr>
      </w:pPr>
      <w:r w:rsidRPr="00D30057">
        <w:rPr>
          <w:rFonts w:eastAsia="Calibri"/>
        </w:rPr>
        <w:t xml:space="preserve">Существует множество стандартов для узкополосных </w:t>
      </w:r>
      <w:r w:rsidRPr="00D30057">
        <w:rPr>
          <w:rFonts w:eastAsia="Calibri"/>
          <w:lang w:val="en-US"/>
        </w:rPr>
        <w:t>PLC</w:t>
      </w:r>
      <w:r w:rsidRPr="00D30057">
        <w:rPr>
          <w:rFonts w:eastAsia="Calibri"/>
        </w:rPr>
        <w:t>, разработанных крупными зарубежными организациями – CENELEC, FCC, ARIB, Homeplug Power Alliance, которые необходимы для реализации технологической совместимости и надежной связи в сетях электропитания. Параметры некоторых из них приведены в таблице 1.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2693"/>
        <w:gridCol w:w="1950"/>
      </w:tblGrid>
      <w:tr w:rsidR="00D30057" w:rsidRPr="00D30057" w14:paraId="3AC688DF" w14:textId="77777777" w:rsidTr="00D3005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98F3F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Стандарт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9223B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Рабочая частота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2E9B4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Ширина полосы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C880B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Вид модуляции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BC5F7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Скорость передачи даных</w:t>
            </w:r>
          </w:p>
        </w:tc>
      </w:tr>
      <w:tr w:rsidR="00D30057" w:rsidRPr="00D30057" w14:paraId="45BD10F0" w14:textId="77777777" w:rsidTr="00D3005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D9B77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G3-PLC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216E0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36 – 90,6 кГц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43F8D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± 55 кГц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6FC8E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  <w:lang w:val="en-US"/>
              </w:rPr>
            </w:pPr>
            <w:r w:rsidRPr="00D30057">
              <w:rPr>
                <w:sz w:val="24"/>
                <w:lang w:val="en-US"/>
              </w:rPr>
              <w:t>OFDM</w:t>
            </w:r>
            <w:r w:rsidRPr="00D30057">
              <w:rPr>
                <w:lang w:val="en-US"/>
              </w:rPr>
              <w:t xml:space="preserve"> </w:t>
            </w:r>
            <w:r w:rsidRPr="00D30057">
              <w:rPr>
                <w:sz w:val="24"/>
                <w:lang w:val="en-US"/>
              </w:rPr>
              <w:t>(Orthogonal Frequency Division Multiplexing)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C8D9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5,6 – 45 кбит/с</w:t>
            </w:r>
          </w:p>
        </w:tc>
      </w:tr>
      <w:tr w:rsidR="00D30057" w:rsidRPr="00D30057" w14:paraId="3ACD6168" w14:textId="77777777" w:rsidTr="00D3005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F9471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PRIME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70F0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30 – 90 кГц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A8BE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± 60 кГц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4248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  <w:lang w:val="en-US"/>
              </w:rPr>
            </w:pPr>
            <w:r w:rsidRPr="00D30057">
              <w:rPr>
                <w:sz w:val="24"/>
                <w:lang w:val="en-US"/>
              </w:rPr>
              <w:t>OFDM</w:t>
            </w:r>
            <w:r w:rsidRPr="00D30057">
              <w:rPr>
                <w:lang w:val="en-US"/>
              </w:rPr>
              <w:t xml:space="preserve"> </w:t>
            </w:r>
            <w:r w:rsidRPr="00D30057">
              <w:rPr>
                <w:sz w:val="24"/>
                <w:lang w:val="en-US"/>
              </w:rPr>
              <w:t>(Orthogonal Frequency Division Multiplexing)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CC61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21 – 128 кбит/с</w:t>
            </w:r>
          </w:p>
        </w:tc>
      </w:tr>
      <w:tr w:rsidR="00D30057" w:rsidRPr="00D30057" w14:paraId="75BBC43C" w14:textId="77777777" w:rsidTr="00D3005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EA726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IEEE P1901.2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4AE0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10 – 490 кГц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846C6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до 100 кГц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FD3C6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  <w:lang w:val="en-US"/>
              </w:rPr>
            </w:pPr>
            <w:r w:rsidRPr="00D30057">
              <w:rPr>
                <w:sz w:val="24"/>
                <w:lang w:val="en-US"/>
              </w:rPr>
              <w:t>OFDM</w:t>
            </w:r>
            <w:r w:rsidRPr="00D30057">
              <w:rPr>
                <w:lang w:val="en-US"/>
              </w:rPr>
              <w:t xml:space="preserve"> </w:t>
            </w:r>
            <w:r w:rsidRPr="00D30057">
              <w:rPr>
                <w:sz w:val="24"/>
                <w:lang w:val="en-US"/>
              </w:rPr>
              <w:t>(Orthogonal Frequency Division Multiplexing)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C3577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до 500 кбит/с</w:t>
            </w:r>
          </w:p>
        </w:tc>
      </w:tr>
      <w:tr w:rsidR="00D30057" w:rsidRPr="00D30057" w14:paraId="33CBD704" w14:textId="77777777" w:rsidTr="00D3005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41FDE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IEC 61334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75B0A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60 – 76 кГц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9535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10 кГц и более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4CE6B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  <w:lang w:val="en-US"/>
              </w:rPr>
            </w:pPr>
            <w:r w:rsidRPr="00D30057">
              <w:rPr>
                <w:sz w:val="24"/>
                <w:lang w:val="en-US"/>
              </w:rPr>
              <w:t>S-FSK (Spread – Frequency Shift Keying)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D99B" w14:textId="77777777" w:rsidR="00D30057" w:rsidRPr="00D30057" w:rsidRDefault="00D30057" w:rsidP="00D30057">
            <w:pPr>
              <w:spacing w:line="276" w:lineRule="auto"/>
              <w:jc w:val="center"/>
              <w:rPr>
                <w:sz w:val="24"/>
              </w:rPr>
            </w:pPr>
            <w:r w:rsidRPr="00D30057">
              <w:rPr>
                <w:sz w:val="24"/>
              </w:rPr>
              <w:t>1,2 – 2,8 кбит/с</w:t>
            </w:r>
          </w:p>
        </w:tc>
      </w:tr>
    </w:tbl>
    <w:p w14:paraId="2E0487C6" w14:textId="77777777" w:rsidR="00A437C5" w:rsidRDefault="00B153D6" w:rsidP="00A437C5">
      <w:pPr>
        <w:spacing w:before="240"/>
        <w:ind w:firstLine="708"/>
      </w:pPr>
      <w:r>
        <w:t>Под данные стандарты разрабатываются телекоммуникационные микросхемы фирмами</w:t>
      </w:r>
      <w:r w:rsidR="00F83A79">
        <w:t xml:space="preserve"> </w:t>
      </w:r>
      <w:r w:rsidR="00F83A79" w:rsidRPr="00F83A79">
        <w:t>Ангстрем</w:t>
      </w:r>
      <w:r w:rsidR="00F83A79">
        <w:t xml:space="preserve"> (</w:t>
      </w:r>
      <w:r w:rsidR="0028222D" w:rsidRPr="0028222D">
        <w:t xml:space="preserve">КР1446ХК1, </w:t>
      </w:r>
      <w:r w:rsidR="0028222D">
        <w:rPr>
          <w:lang w:val="en-US"/>
        </w:rPr>
        <w:t>FSK</w:t>
      </w:r>
      <w:r w:rsidR="0028222D" w:rsidRPr="0028222D">
        <w:t xml:space="preserve">, </w:t>
      </w:r>
      <w:r w:rsidR="0028222D">
        <w:t>скорость передачи 124</w:t>
      </w:r>
      <w:r w:rsidR="00EC7353">
        <w:t>…</w:t>
      </w:r>
      <w:r w:rsidR="0028222D">
        <w:t xml:space="preserve">992 бит/сек, </w:t>
      </w:r>
      <w:r w:rsidR="00FF5753">
        <w:t>диапазон частот</w:t>
      </w:r>
      <w:r w:rsidR="0028222D">
        <w:t xml:space="preserve"> 62.5…137.93 кГц, стоимость в России 190 руб./шт</w:t>
      </w:r>
      <w:r w:rsidR="00F83A79">
        <w:t>)</w:t>
      </w:r>
      <w:r w:rsidR="0028222D">
        <w:t>,</w:t>
      </w:r>
      <w:r w:rsidR="00955622">
        <w:t xml:space="preserve"> </w:t>
      </w:r>
      <w:r w:rsidR="00955622">
        <w:rPr>
          <w:lang w:val="en-US"/>
        </w:rPr>
        <w:t>STMicroelectronics</w:t>
      </w:r>
      <w:r w:rsidR="00955622" w:rsidRPr="00955622">
        <w:t xml:space="preserve"> </w:t>
      </w:r>
      <w:r w:rsidR="00955622">
        <w:t>(</w:t>
      </w:r>
      <w:r w:rsidR="00955622" w:rsidRPr="00955622">
        <w:t xml:space="preserve">ST7538/ST7540 </w:t>
      </w:r>
      <w:r w:rsidR="00955622">
        <w:rPr>
          <w:lang w:val="en-US"/>
        </w:rPr>
        <w:t>FSK</w:t>
      </w:r>
      <w:r w:rsidR="00955622" w:rsidRPr="00955622">
        <w:t xml:space="preserve">, </w:t>
      </w:r>
      <w:r w:rsidR="00FF5753">
        <w:t>скорость передачи</w:t>
      </w:r>
      <w:r w:rsidR="00EC7353">
        <w:t xml:space="preserve"> 600…</w:t>
      </w:r>
      <w:r w:rsidR="00FF5753">
        <w:t xml:space="preserve">4800 бит/с, диапазон частот </w:t>
      </w:r>
      <w:r w:rsidR="00955622">
        <w:t>60…132.5 кГц, стоимость в России 1050 руб./шт)</w:t>
      </w:r>
      <w:r w:rsidR="00EC7353">
        <w:t xml:space="preserve">, </w:t>
      </w:r>
      <w:r w:rsidR="00C16B52">
        <w:rPr>
          <w:lang w:val="en-US"/>
        </w:rPr>
        <w:t>Texas</w:t>
      </w:r>
      <w:r w:rsidR="00C16B52" w:rsidRPr="00C16B52">
        <w:t xml:space="preserve"> </w:t>
      </w:r>
      <w:r w:rsidR="00C16B52">
        <w:rPr>
          <w:lang w:val="en-US"/>
        </w:rPr>
        <w:t>Instruments</w:t>
      </w:r>
      <w:r w:rsidR="00C16B52" w:rsidRPr="00C16B52">
        <w:t xml:space="preserve"> (</w:t>
      </w:r>
      <w:r w:rsidR="00C16B52">
        <w:rPr>
          <w:lang w:val="en-US"/>
        </w:rPr>
        <w:t>C</w:t>
      </w:r>
      <w:r w:rsidR="00C16B52" w:rsidRPr="00C16B52">
        <w:t xml:space="preserve">2000, </w:t>
      </w:r>
      <w:r w:rsidR="00C16B52">
        <w:rPr>
          <w:lang w:val="en-US"/>
        </w:rPr>
        <w:t>PSK</w:t>
      </w:r>
      <w:r w:rsidR="00C16B52" w:rsidRPr="00C16B52">
        <w:t xml:space="preserve">, </w:t>
      </w:r>
      <w:r w:rsidR="00C16B52">
        <w:t>несущая частота 131.5879 кГц, скорость передачи 3.748 Кбит/с, в России не продаётся)</w:t>
      </w:r>
      <w:r w:rsidR="0060717A">
        <w:t>.</w:t>
      </w:r>
    </w:p>
    <w:p w14:paraId="7ED9902A" w14:textId="1EEA1498" w:rsidR="00327F44" w:rsidRDefault="00A437C5" w:rsidP="00A437C5">
      <w:pPr>
        <w:spacing w:before="240"/>
        <w:ind w:firstLine="708"/>
      </w:pPr>
      <w:r>
        <w:t xml:space="preserve">При обзоре рынка </w:t>
      </w:r>
      <w:r>
        <w:rPr>
          <w:lang w:val="en-US"/>
        </w:rPr>
        <w:t>PLC</w:t>
      </w:r>
      <w:r w:rsidRPr="00B153D6">
        <w:t>-</w:t>
      </w:r>
      <w:r>
        <w:t xml:space="preserve">модемов отечественного производства был найден один экземпляр – </w:t>
      </w:r>
      <w:r w:rsidRPr="00FC0652">
        <w:t>ПШС01</w:t>
      </w:r>
      <w:r>
        <w:t xml:space="preserve"> (преобразователь широкополосных </w:t>
      </w:r>
      <w:r>
        <w:lastRenderedPageBreak/>
        <w:t xml:space="preserve">сигналов). Данное устройство преобразует сигналы интерфейса Ethernet в широкополосный сигнал для передачи по линиям электропередач </w:t>
      </w:r>
      <w:r>
        <w:br/>
        <w:t xml:space="preserve">0,4/6(10)/35 кВ с использованием частот в диапазоне 2 – 34 МГц. Существование отечественного </w:t>
      </w:r>
      <w:r>
        <w:rPr>
          <w:lang w:val="en-US"/>
        </w:rPr>
        <w:t>PLC</w:t>
      </w:r>
      <w:r w:rsidRPr="00B153D6">
        <w:t>-</w:t>
      </w:r>
      <w:r>
        <w:t xml:space="preserve">модема означает, что реализация </w:t>
      </w:r>
      <w:r>
        <w:br/>
      </w:r>
      <w:r>
        <w:rPr>
          <w:lang w:val="en-US"/>
        </w:rPr>
        <w:t>PLC</w:t>
      </w:r>
      <w:r w:rsidRPr="00B153D6">
        <w:t>-</w:t>
      </w:r>
      <w:r>
        <w:t xml:space="preserve">технологии для передачи телеметрии станков на </w:t>
      </w:r>
      <w:r w:rsidR="00E259BC">
        <w:t>ё</w:t>
      </w:r>
      <w:r w:rsidRPr="00E259BC">
        <w:t>производстве</w:t>
      </w:r>
      <w:r w:rsidR="00775A1D" w:rsidRPr="00E259BC">
        <w:t xml:space="preserve"> в России</w:t>
      </w:r>
      <w:r>
        <w:t xml:space="preserve"> является актуальной задачей и требует широкого исследовательского и опытно-конструкторского подхода. </w:t>
      </w:r>
    </w:p>
    <w:p w14:paraId="7B7CA845" w14:textId="77777777" w:rsidR="00353E02" w:rsidRDefault="00B153D6" w:rsidP="00BF58EE">
      <w:pPr>
        <w:ind w:firstLine="708"/>
      </w:pPr>
      <w:r>
        <w:t xml:space="preserve">На базе СКБ-4 МАИ был разработан прототип подобного модема, основанный на приёме и передаче радиоимпульсов в сеть электропитания на несущей частоте </w:t>
      </w:r>
      <w:r w:rsidR="00F232D9">
        <w:t xml:space="preserve">60,15 кГц с шириной полосы приблизительно 10 кГц. </w:t>
      </w:r>
      <w:r w:rsidR="008C7E11">
        <w:t xml:space="preserve">Изначально в качестве основной модуляции для данного модема была применена двухчастотная </w:t>
      </w:r>
      <w:r w:rsidR="008C7E11">
        <w:rPr>
          <w:lang w:val="en-US"/>
        </w:rPr>
        <w:t>F</w:t>
      </w:r>
      <w:r w:rsidR="000D55BE">
        <w:rPr>
          <w:lang w:val="en-US"/>
        </w:rPr>
        <w:t>SK</w:t>
      </w:r>
      <w:r w:rsidR="000D55BE">
        <w:t xml:space="preserve">, частоты которой выбирались так, чтобы можно было применять стандартный демодулятор </w:t>
      </w:r>
      <w:r w:rsidR="000D55BE">
        <w:rPr>
          <w:lang w:val="en-US"/>
        </w:rPr>
        <w:t>MT</w:t>
      </w:r>
      <w:r w:rsidR="000D55BE">
        <w:t>8870</w:t>
      </w:r>
      <w:r w:rsidR="000D55BE" w:rsidRPr="000D55BE">
        <w:t xml:space="preserve">. </w:t>
      </w:r>
      <w:r w:rsidR="00353E02">
        <w:t xml:space="preserve">Однако </w:t>
      </w:r>
      <w:r w:rsidR="008050BA">
        <w:t xml:space="preserve">на практике </w:t>
      </w:r>
      <w:r w:rsidR="0090520A">
        <w:t>данный демодулятор не смог обеспечить быстроту реакции на передачу символов</w:t>
      </w:r>
      <w:r w:rsidR="008050BA">
        <w:t xml:space="preserve"> (минимальная длительность символа составила 35 мс). В данной работе </w:t>
      </w:r>
      <w:r w:rsidR="0090520A">
        <w:t xml:space="preserve">была поставлена задача выбора другого типа модуляции, </w:t>
      </w:r>
      <w:r w:rsidR="008050BA">
        <w:t xml:space="preserve">обеспечивающего более высокую скорость передачи информации. </w:t>
      </w:r>
    </w:p>
    <w:p w14:paraId="78505992" w14:textId="77777777" w:rsidR="00CD2052" w:rsidRDefault="00E26178" w:rsidP="00A437C5">
      <w:pPr>
        <w:ind w:firstLine="708"/>
      </w:pPr>
      <w:r>
        <w:t>Были проанализированы различные виды модуляции</w:t>
      </w:r>
      <w:r w:rsidR="008050BA">
        <w:t xml:space="preserve"> с точки зрения применимости для решения данной задачи</w:t>
      </w:r>
      <w:r w:rsidR="00A437C5">
        <w:t>:</w:t>
      </w:r>
    </w:p>
    <w:p w14:paraId="3D8935A4" w14:textId="77777777" w:rsidR="00A437C5" w:rsidRPr="00A437C5" w:rsidRDefault="00A437C5" w:rsidP="00A437C5">
      <w:pPr>
        <w:numPr>
          <w:ilvl w:val="0"/>
          <w:numId w:val="2"/>
        </w:numPr>
      </w:pPr>
      <w:r w:rsidRPr="00A437C5">
        <w:rPr>
          <w:lang w:val="en-US"/>
        </w:rPr>
        <w:t>FSK</w:t>
      </w:r>
      <w:r w:rsidRPr="00A437C5">
        <w:t xml:space="preserve"> (</w:t>
      </w:r>
      <w:r w:rsidRPr="00A437C5">
        <w:rPr>
          <w:lang w:val="en-US"/>
        </w:rPr>
        <w:t>Frequency</w:t>
      </w:r>
      <w:r w:rsidRPr="00A437C5">
        <w:t xml:space="preserve"> </w:t>
      </w:r>
      <w:r w:rsidRPr="00A437C5">
        <w:rPr>
          <w:lang w:val="en-US"/>
        </w:rPr>
        <w:t>Shift</w:t>
      </w:r>
      <w:r w:rsidRPr="00A437C5">
        <w:t xml:space="preserve"> </w:t>
      </w:r>
      <w:r w:rsidRPr="00A437C5">
        <w:rPr>
          <w:lang w:val="en-US"/>
        </w:rPr>
        <w:t>Keying</w:t>
      </w:r>
      <w:r w:rsidRPr="00A437C5">
        <w:t>) – частотная манипуляция, метод цифровой модуляции, который использует изменение частоты несущего сигнала для передачи данных. В зависимости от битов данных, несущая частота изменяется между двумя или более фиксированными значениями;</w:t>
      </w:r>
    </w:p>
    <w:p w14:paraId="53DBBB4E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t>преимущества: устойчивость к шумам и интерференции и простота реализации;</w:t>
      </w:r>
    </w:p>
    <w:p w14:paraId="2FAD7A4D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t>недостатки: привязка к ширине канала (при увеличении скорости передачи требуется больше полосы);</w:t>
      </w:r>
    </w:p>
    <w:p w14:paraId="2D39A315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lastRenderedPageBreak/>
        <w:t>типы: 2-FSK (Binary FSK) – использует две частоты для представления 0 и 1 и M-FSK – использует M частот для представления M символов;</w:t>
      </w:r>
    </w:p>
    <w:p w14:paraId="17321E92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t>применение: в радиосвязи, модемах и беспроводных передатчиках;</w:t>
      </w:r>
    </w:p>
    <w:p w14:paraId="78CB7484" w14:textId="77777777" w:rsidR="00A437C5" w:rsidRPr="00A437C5" w:rsidRDefault="00A437C5" w:rsidP="00A437C5">
      <w:pPr>
        <w:numPr>
          <w:ilvl w:val="0"/>
          <w:numId w:val="2"/>
        </w:numPr>
      </w:pPr>
      <w:r w:rsidRPr="00A437C5">
        <w:rPr>
          <w:lang w:val="en-US"/>
        </w:rPr>
        <w:t>SFSK</w:t>
      </w:r>
      <w:r w:rsidRPr="00A437C5">
        <w:t xml:space="preserve"> (</w:t>
      </w:r>
      <w:r w:rsidRPr="00A437C5">
        <w:rPr>
          <w:lang w:val="en-US"/>
        </w:rPr>
        <w:t>Spectral</w:t>
      </w:r>
      <w:r w:rsidRPr="00A437C5">
        <w:t xml:space="preserve"> </w:t>
      </w:r>
      <w:r w:rsidRPr="00A437C5">
        <w:rPr>
          <w:lang w:val="en-US"/>
        </w:rPr>
        <w:t>Frequency</w:t>
      </w:r>
      <w:r w:rsidRPr="00A437C5">
        <w:t xml:space="preserve"> </w:t>
      </w:r>
      <w:r w:rsidRPr="00A437C5">
        <w:rPr>
          <w:lang w:val="en-US"/>
        </w:rPr>
        <w:t>Shift</w:t>
      </w:r>
      <w:r w:rsidRPr="00A437C5">
        <w:t xml:space="preserve"> </w:t>
      </w:r>
      <w:r w:rsidRPr="00A437C5">
        <w:rPr>
          <w:lang w:val="en-US"/>
        </w:rPr>
        <w:t>Keying</w:t>
      </w:r>
      <w:r w:rsidRPr="00A437C5">
        <w:t>) – синусоидальная частотная манипуляция, является расширением FSK и включает в себя спектральное размещение для уменьшения спектрального загрязнения. Этот метод тоже использует изменение частоты, но акцент делается на управление спектром сигнала;</w:t>
      </w:r>
    </w:p>
    <w:p w14:paraId="3041F5F9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t>преимущества: более эффективное использование частотного спектра, снижает вероятность перекрытия спектров с другими передатчиками;</w:t>
      </w:r>
    </w:p>
    <w:p w14:paraId="6D861B69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t>недостатки: более сложные алгоритмы обработки сигналов, чем у классического FSK;</w:t>
      </w:r>
    </w:p>
    <w:p w14:paraId="4CD66FB3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t>применение: категории, требующие более строгих условий по использованию спектра, например, в некоторых системах связи и радиочастотных идентификациях;</w:t>
      </w:r>
    </w:p>
    <w:p w14:paraId="5987F6E0" w14:textId="77777777" w:rsidR="00A437C5" w:rsidRPr="00A437C5" w:rsidRDefault="00A437C5" w:rsidP="00A437C5">
      <w:pPr>
        <w:numPr>
          <w:ilvl w:val="0"/>
          <w:numId w:val="2"/>
        </w:numPr>
      </w:pPr>
      <w:r w:rsidRPr="00A437C5">
        <w:rPr>
          <w:lang w:val="en-US"/>
        </w:rPr>
        <w:t>QAM</w:t>
      </w:r>
      <w:r w:rsidRPr="00A437C5">
        <w:t xml:space="preserve"> (</w:t>
      </w:r>
      <w:r w:rsidRPr="00A437C5">
        <w:rPr>
          <w:lang w:val="en-US"/>
        </w:rPr>
        <w:t>Quadrature</w:t>
      </w:r>
      <w:r w:rsidRPr="00A437C5">
        <w:t xml:space="preserve"> </w:t>
      </w:r>
      <w:r w:rsidRPr="00A437C5">
        <w:rPr>
          <w:lang w:val="en-US"/>
        </w:rPr>
        <w:t>Amplitude</w:t>
      </w:r>
      <w:r w:rsidRPr="00A437C5">
        <w:t xml:space="preserve"> </w:t>
      </w:r>
      <w:r w:rsidRPr="00A437C5">
        <w:rPr>
          <w:lang w:val="en-US"/>
        </w:rPr>
        <w:t>Modulation</w:t>
      </w:r>
      <w:r w:rsidRPr="00A437C5">
        <w:t xml:space="preserve">) – квадратурно-амплитудная модуляция, комбинирует амплитудную и фазовую модуляцию. В </w:t>
      </w:r>
      <w:r w:rsidRPr="00A437C5">
        <w:rPr>
          <w:lang w:val="en-US"/>
        </w:rPr>
        <w:t>QAM</w:t>
      </w:r>
      <w:r w:rsidRPr="00A437C5">
        <w:t xml:space="preserve"> используются изменения как в амплитуде, так и в фазе сигналов, что позволяет передавать больше битов за один символ;</w:t>
      </w:r>
    </w:p>
    <w:p w14:paraId="5016C8D7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t>преимущества: высокая эффективность спектра и возможность передачи большого объема данных, подходит для широкополосных каналов;</w:t>
      </w:r>
    </w:p>
    <w:p w14:paraId="1523B54D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t>недостатки: чувствительность к шумам, падение качества сигнала может сильно влиять на передачу;</w:t>
      </w:r>
    </w:p>
    <w:p w14:paraId="15EF129B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lastRenderedPageBreak/>
        <w:t>типы: QAM 16, 64, 256 и так далее, в зависимости от числа различных состояний (или символов), которые могут быть созданы с разными амплитудами и фазами;</w:t>
      </w:r>
    </w:p>
    <w:p w14:paraId="0FA990AA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t>применение: в системах цифровой передачи, таких как DVB, Wi-Fi и кабельное телевидение;</w:t>
      </w:r>
    </w:p>
    <w:p w14:paraId="771F80C1" w14:textId="77777777" w:rsidR="00A437C5" w:rsidRPr="00A437C5" w:rsidRDefault="00A437C5" w:rsidP="00A437C5">
      <w:pPr>
        <w:numPr>
          <w:ilvl w:val="0"/>
          <w:numId w:val="2"/>
        </w:numPr>
      </w:pPr>
      <w:r w:rsidRPr="00A437C5">
        <w:rPr>
          <w:lang w:val="en-US"/>
        </w:rPr>
        <w:t>QPSK</w:t>
      </w:r>
      <w:r w:rsidRPr="00A437C5">
        <w:t xml:space="preserve"> (</w:t>
      </w:r>
      <w:r w:rsidRPr="00A437C5">
        <w:rPr>
          <w:lang w:val="en-US"/>
        </w:rPr>
        <w:t>Quadrature</w:t>
      </w:r>
      <w:r w:rsidRPr="00A437C5">
        <w:t xml:space="preserve"> </w:t>
      </w:r>
      <w:r w:rsidRPr="00A437C5">
        <w:rPr>
          <w:lang w:val="en-US"/>
        </w:rPr>
        <w:t>Phase</w:t>
      </w:r>
      <w:r w:rsidRPr="00A437C5">
        <w:t xml:space="preserve"> </w:t>
      </w:r>
      <w:r w:rsidRPr="00A437C5">
        <w:rPr>
          <w:lang w:val="en-US"/>
        </w:rPr>
        <w:t>Shift</w:t>
      </w:r>
      <w:r w:rsidRPr="00A437C5">
        <w:t xml:space="preserve"> </w:t>
      </w:r>
      <w:r w:rsidRPr="00A437C5">
        <w:rPr>
          <w:lang w:val="en-US"/>
        </w:rPr>
        <w:t>Keying</w:t>
      </w:r>
      <w:r w:rsidRPr="00A437C5">
        <w:t>) – квадратурная фазовая манипуляция, является разновидностью QAM, которая использует 4 разные фазы, чтобы передавать 2 бита данных за символ. Таким образом, QPSK является более эффективным, чем PSK (Phase Shift Keying), где каждая уникальная фаза представляет один бит.</w:t>
      </w:r>
    </w:p>
    <w:p w14:paraId="0E9B5265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t>преимущества: увеличивает скорость передачи данных по сравнению с BPSK (Binary Phase Shift Keying), обеспечивает хорошую устойчивость к шуму;</w:t>
      </w:r>
    </w:p>
    <w:p w14:paraId="77B49DEB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t>недостатки: более сложен в реализации и обработке, чем BPSK;</w:t>
      </w:r>
    </w:p>
    <w:p w14:paraId="671B272C" w14:textId="77777777" w:rsidR="00A437C5" w:rsidRPr="00A437C5" w:rsidRDefault="00A437C5" w:rsidP="00A437C5">
      <w:pPr>
        <w:numPr>
          <w:ilvl w:val="1"/>
          <w:numId w:val="2"/>
        </w:numPr>
      </w:pPr>
      <w:r w:rsidRPr="00A437C5">
        <w:t>типы: вариации QPSK (обычно используются 4 фазы: 0°, 90°, 180°, 270°) могут расширяться до 8-PSK, но это уже другой тип;</w:t>
      </w:r>
    </w:p>
    <w:p w14:paraId="17BAA4EB" w14:textId="77777777" w:rsidR="00A437C5" w:rsidRDefault="00A437C5" w:rsidP="00A437C5">
      <w:pPr>
        <w:numPr>
          <w:ilvl w:val="1"/>
          <w:numId w:val="2"/>
        </w:numPr>
      </w:pPr>
      <w:r w:rsidRPr="00A437C5">
        <w:t>применение: в спутниковой связи, мобильной связи, Wi-Fi, а также в других сетях передачи данных.</w:t>
      </w:r>
    </w:p>
    <w:p w14:paraId="6E558E5B" w14:textId="77777777" w:rsidR="007C3E18" w:rsidRDefault="00702A61" w:rsidP="00702A61">
      <w:pPr>
        <w:ind w:firstLine="708"/>
      </w:pPr>
      <w:r>
        <w:t xml:space="preserve">На основании анализа модуляций был выбран вариант </w:t>
      </w:r>
      <w:r>
        <w:rPr>
          <w:lang w:val="en-US"/>
        </w:rPr>
        <w:t>FSK</w:t>
      </w:r>
      <w:r w:rsidRPr="00702A61">
        <w:t xml:space="preserve"> </w:t>
      </w:r>
      <w:r>
        <w:t xml:space="preserve">модуляции с квадратурной передачей данных. Для проверки работы данной модуляции была </w:t>
      </w:r>
      <w:r w:rsidR="00A25AB1">
        <w:t xml:space="preserve">применена микросхема </w:t>
      </w:r>
      <w:r w:rsidR="0040627A" w:rsidRPr="0040627A">
        <w:t>S</w:t>
      </w:r>
      <w:r>
        <w:rPr>
          <w:lang w:val="en-US"/>
        </w:rPr>
        <w:t>I</w:t>
      </w:r>
      <w:r w:rsidR="0040627A" w:rsidRPr="0040627A">
        <w:t xml:space="preserve">5351 </w:t>
      </w:r>
      <w:r w:rsidRPr="00702A61">
        <w:t>(</w:t>
      </w:r>
      <w:r w:rsidR="0040627A" w:rsidRPr="0040627A">
        <w:t>генератор сигналов прямоугольной формы</w:t>
      </w:r>
      <w:r>
        <w:t>)</w:t>
      </w:r>
      <w:r w:rsidRPr="00702A61">
        <w:t xml:space="preserve"> </w:t>
      </w:r>
      <w:r>
        <w:t xml:space="preserve">и микроконтроллер </w:t>
      </w:r>
      <w:r>
        <w:rPr>
          <w:lang w:val="en-US"/>
        </w:rPr>
        <w:t>Atmega</w:t>
      </w:r>
      <w:r w:rsidRPr="00702A61">
        <w:t>328</w:t>
      </w:r>
      <w:r>
        <w:rPr>
          <w:lang w:val="en-US"/>
        </w:rPr>
        <w:t>P</w:t>
      </w:r>
      <w:r w:rsidRPr="00702A61">
        <w:t>-</w:t>
      </w:r>
      <w:r>
        <w:rPr>
          <w:lang w:val="en-US"/>
        </w:rPr>
        <w:t>AU</w:t>
      </w:r>
      <w:r w:rsidRPr="00702A61">
        <w:t xml:space="preserve">. </w:t>
      </w:r>
      <w:r>
        <w:t>Была написана программа</w:t>
      </w:r>
      <w:r w:rsidR="00A25AB1">
        <w:t xml:space="preserve">, которая сформировала модуляционные посылки, которые </w:t>
      </w:r>
      <w:r>
        <w:t xml:space="preserve">передавались </w:t>
      </w:r>
      <w:r w:rsidR="00A25AB1">
        <w:t>в сеть.</w:t>
      </w:r>
    </w:p>
    <w:p w14:paraId="634321BB" w14:textId="77777777" w:rsidR="00397A81" w:rsidRPr="00D52AC9" w:rsidRDefault="00A25AB1" w:rsidP="00397A81">
      <w:pPr>
        <w:ind w:firstLine="708"/>
      </w:pPr>
      <w:r>
        <w:t>Был проведён эксперимент</w:t>
      </w:r>
      <w:r w:rsidR="002864B2">
        <w:t>,</w:t>
      </w:r>
      <w:r>
        <w:t xml:space="preserve"> в ходе которого данные </w:t>
      </w:r>
      <w:r w:rsidR="00647F39">
        <w:t xml:space="preserve">были </w:t>
      </w:r>
      <w:r>
        <w:t>переда</w:t>
      </w:r>
      <w:r w:rsidR="00647F39">
        <w:t>ны</w:t>
      </w:r>
      <w:r w:rsidR="00D52AC9">
        <w:t xml:space="preserve"> в розетку через модем и</w:t>
      </w:r>
      <w:r>
        <w:t xml:space="preserve"> принимались на расстоянии 100 метров через гальваническую развязку на осциллографе.</w:t>
      </w:r>
      <w:r w:rsidR="00D52AC9" w:rsidRPr="00D52AC9">
        <w:t xml:space="preserve"> </w:t>
      </w:r>
      <w:r w:rsidR="00D52AC9">
        <w:t xml:space="preserve">При этом оценивалась величина </w:t>
      </w:r>
      <w:r w:rsidR="00D52AC9">
        <w:lastRenderedPageBreak/>
        <w:t>пакетной ошибки приёма данных. Структурная схема измерительной установки приведена на рис. 1.</w:t>
      </w:r>
    </w:p>
    <w:p w14:paraId="2171F9B2" w14:textId="77777777" w:rsidR="00397A81" w:rsidRDefault="00D52AC9" w:rsidP="00D52AC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861F2C7" wp14:editId="70ABA231">
            <wp:extent cx="5940425" cy="3327400"/>
            <wp:effectExtent l="19050" t="0" r="3175" b="0"/>
            <wp:docPr id="1" name="Рисунок 0" descr="JXjKqJn5c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XjKqJn5cq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F7AF" w14:textId="77777777" w:rsidR="00397A81" w:rsidRDefault="00397A81" w:rsidP="00397A81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стру</w:t>
      </w:r>
      <w:r w:rsidR="00D52AC9">
        <w:t>к</w:t>
      </w:r>
      <w:r>
        <w:t xml:space="preserve">турная схема </w:t>
      </w:r>
      <w:r w:rsidR="00D52AC9">
        <w:t>измерительной установки</w:t>
      </w:r>
    </w:p>
    <w:p w14:paraId="041EBC22" w14:textId="77777777" w:rsidR="00397A81" w:rsidRDefault="00397A81" w:rsidP="00A25AB1">
      <w:pPr>
        <w:ind w:firstLine="708"/>
      </w:pPr>
    </w:p>
    <w:p w14:paraId="2A2429BD" w14:textId="77777777" w:rsidR="00D52AC9" w:rsidRPr="00D52AC9" w:rsidRDefault="00D52AC9" w:rsidP="00A25AB1">
      <w:pPr>
        <w:ind w:firstLine="708"/>
      </w:pPr>
      <w:r>
        <w:t xml:space="preserve">Проведенный эксперимент подтвердил эффективность выбранного способа модуляции для решения задачи </w:t>
      </w:r>
      <w:r>
        <w:rPr>
          <w:lang w:val="en-US"/>
        </w:rPr>
        <w:t>PLC</w:t>
      </w:r>
      <w:r w:rsidRPr="00D52AC9">
        <w:t>-</w:t>
      </w:r>
      <w:r>
        <w:t xml:space="preserve">связи. Впоследствии предполагается разработка структурной и принципиальной схем приёмника и осуществление эксперимента в реальном времени. </w:t>
      </w:r>
    </w:p>
    <w:sectPr w:rsidR="00D52AC9" w:rsidRPr="00D52AC9" w:rsidSect="00B3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56BD5"/>
    <w:multiLevelType w:val="hybridMultilevel"/>
    <w:tmpl w:val="315E4828"/>
    <w:lvl w:ilvl="0" w:tplc="50321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842C22"/>
    <w:multiLevelType w:val="hybridMultilevel"/>
    <w:tmpl w:val="C0D2DD2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355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287346758">
    <w:abstractNumId w:val="0"/>
  </w:num>
  <w:num w:numId="2" w16cid:durableId="1797336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078"/>
    <w:rsid w:val="00003E47"/>
    <w:rsid w:val="000111C5"/>
    <w:rsid w:val="00090198"/>
    <w:rsid w:val="000C746B"/>
    <w:rsid w:val="000D55BE"/>
    <w:rsid w:val="001063A8"/>
    <w:rsid w:val="00114ACF"/>
    <w:rsid w:val="0012787A"/>
    <w:rsid w:val="0028222D"/>
    <w:rsid w:val="002864B2"/>
    <w:rsid w:val="0029240E"/>
    <w:rsid w:val="002A463F"/>
    <w:rsid w:val="0030213B"/>
    <w:rsid w:val="0032080F"/>
    <w:rsid w:val="00327F44"/>
    <w:rsid w:val="00347359"/>
    <w:rsid w:val="00353E02"/>
    <w:rsid w:val="00397A81"/>
    <w:rsid w:val="003C794D"/>
    <w:rsid w:val="0040419B"/>
    <w:rsid w:val="0040627A"/>
    <w:rsid w:val="004072BB"/>
    <w:rsid w:val="0044527C"/>
    <w:rsid w:val="004847FB"/>
    <w:rsid w:val="00485158"/>
    <w:rsid w:val="004A0511"/>
    <w:rsid w:val="004A0C76"/>
    <w:rsid w:val="004A1B60"/>
    <w:rsid w:val="00522E64"/>
    <w:rsid w:val="00557536"/>
    <w:rsid w:val="005D3E13"/>
    <w:rsid w:val="0060717A"/>
    <w:rsid w:val="00617078"/>
    <w:rsid w:val="0063377E"/>
    <w:rsid w:val="00635DCA"/>
    <w:rsid w:val="00647F39"/>
    <w:rsid w:val="006D53D7"/>
    <w:rsid w:val="00702A61"/>
    <w:rsid w:val="00775A1D"/>
    <w:rsid w:val="007C3E18"/>
    <w:rsid w:val="007E3E91"/>
    <w:rsid w:val="007F40DF"/>
    <w:rsid w:val="008050BA"/>
    <w:rsid w:val="008C7E11"/>
    <w:rsid w:val="008D0212"/>
    <w:rsid w:val="008D6BF2"/>
    <w:rsid w:val="0090125A"/>
    <w:rsid w:val="00903903"/>
    <w:rsid w:val="0090520A"/>
    <w:rsid w:val="00946BAF"/>
    <w:rsid w:val="00955622"/>
    <w:rsid w:val="009C4772"/>
    <w:rsid w:val="00A0250A"/>
    <w:rsid w:val="00A25AB1"/>
    <w:rsid w:val="00A372D7"/>
    <w:rsid w:val="00A437C5"/>
    <w:rsid w:val="00A73152"/>
    <w:rsid w:val="00A973D0"/>
    <w:rsid w:val="00B061FC"/>
    <w:rsid w:val="00B153D6"/>
    <w:rsid w:val="00B3255F"/>
    <w:rsid w:val="00BF4D8B"/>
    <w:rsid w:val="00BF58EE"/>
    <w:rsid w:val="00C16153"/>
    <w:rsid w:val="00C16B52"/>
    <w:rsid w:val="00C20AF9"/>
    <w:rsid w:val="00C216F8"/>
    <w:rsid w:val="00CD2052"/>
    <w:rsid w:val="00D30057"/>
    <w:rsid w:val="00D52AC9"/>
    <w:rsid w:val="00D71650"/>
    <w:rsid w:val="00DA32F4"/>
    <w:rsid w:val="00E259BC"/>
    <w:rsid w:val="00E26178"/>
    <w:rsid w:val="00EC7353"/>
    <w:rsid w:val="00F06D09"/>
    <w:rsid w:val="00F232D9"/>
    <w:rsid w:val="00F61FF9"/>
    <w:rsid w:val="00F73638"/>
    <w:rsid w:val="00F74608"/>
    <w:rsid w:val="00F83A79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0AC7"/>
  <w15:docId w15:val="{3481EBDB-5F7D-4627-B970-A2AE4A3A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21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17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7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7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7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70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707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70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70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70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70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7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7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17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7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70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70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70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7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707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7078"/>
    <w:rPr>
      <w:b/>
      <w:bCs/>
      <w:smallCaps/>
      <w:color w:val="2F5496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3C794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C794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C794D"/>
    <w:rPr>
      <w:rFonts w:ascii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C794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C794D"/>
    <w:rPr>
      <w:rFonts w:ascii="Times New Roman" w:hAnsi="Times New Roman" w:cs="Times New Roman"/>
      <w:b/>
      <w:bCs/>
      <w:sz w:val="20"/>
      <w:szCs w:val="20"/>
    </w:rPr>
  </w:style>
  <w:style w:type="character" w:styleId="af1">
    <w:name w:val="Hyperlink"/>
    <w:basedOn w:val="a0"/>
    <w:uiPriority w:val="99"/>
    <w:unhideWhenUsed/>
    <w:rsid w:val="00F7363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73638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40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40627A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A3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372D7"/>
    <w:rPr>
      <w:rFonts w:ascii="Tahoma" w:hAnsi="Tahoma" w:cs="Tahoma"/>
      <w:sz w:val="16"/>
      <w:szCs w:val="16"/>
    </w:rPr>
  </w:style>
  <w:style w:type="paragraph" w:styleId="af6">
    <w:name w:val="caption"/>
    <w:basedOn w:val="a"/>
    <w:next w:val="a"/>
    <w:uiPriority w:val="35"/>
    <w:unhideWhenUsed/>
    <w:qFormat/>
    <w:rsid w:val="00397A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f2"/>
    <w:uiPriority w:val="39"/>
    <w:rsid w:val="00D3005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E9406-434A-4689-991E-82C8D9FA7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6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Шидловский</dc:creator>
  <cp:keywords/>
  <dc:description/>
  <cp:lastModifiedBy>Никита Шидловский</cp:lastModifiedBy>
  <cp:revision>34</cp:revision>
  <dcterms:created xsi:type="dcterms:W3CDTF">2025-03-12T19:59:00Z</dcterms:created>
  <dcterms:modified xsi:type="dcterms:W3CDTF">2025-03-15T21:33:00Z</dcterms:modified>
</cp:coreProperties>
</file>