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79AE" w14:textId="77777777" w:rsidR="004E7069" w:rsidRDefault="006943E1">
      <w:pPr>
        <w:pStyle w:val="a3"/>
        <w:spacing w:before="120"/>
      </w:pPr>
      <w:r>
        <w:t>面向多里程碑多技能可中断项目调度的</w:t>
      </w:r>
      <w:r>
        <w:t xml:space="preserve"> Rollout-Q-learning </w:t>
      </w:r>
      <w:r>
        <w:t>算法</w:t>
      </w:r>
    </w:p>
    <w:p w14:paraId="7531F095" w14:textId="77777777" w:rsidR="004E7069" w:rsidRDefault="006943E1">
      <w:pPr>
        <w:pStyle w:val="1"/>
        <w:spacing w:before="260" w:after="160"/>
      </w:pPr>
      <w:r>
        <w:t>摘要</w:t>
      </w:r>
    </w:p>
    <w:p w14:paraId="17E78562" w14:textId="77777777" w:rsidR="004E7069" w:rsidRDefault="006943E1">
      <w:pPr>
        <w:spacing w:before="80" w:after="80"/>
        <w:ind w:firstLine="420"/>
      </w:pPr>
      <w:r>
        <w:t>多技能项目调度在实际服务型项目中具有较强的动态性和复杂性。一方面，不同服务人员具备的技能集合和技能水平不同，同一任务由不同人员执行时处理时间可能不同；另一方面，项目执行过程中任务可能被中断并在后续恢复，同时多个中间里程碑还会产生加权延迟惩罚。传统启发式规则计算速度快，但决策逻辑固定，难以根据项目状态变化调整动作偏好。普通</w:t>
      </w:r>
      <w:r>
        <w:t xml:space="preserve"> Q-learning </w:t>
      </w:r>
      <w:r>
        <w:t>虽然能够从训练过程中学习动作价值，但在本问题中容易受到终端奖励稀疏、状态动作空间较大以及动作价值区分度不足的影响。为此，本文提出一种</w:t>
      </w:r>
      <w:r>
        <w:t xml:space="preserve"> Rollout-Q-learni</w:t>
      </w:r>
      <w:r>
        <w:t>ng</w:t>
      </w:r>
      <w:r>
        <w:t>（</w:t>
      </w:r>
      <w:r>
        <w:t>RQL</w:t>
      </w:r>
      <w:r>
        <w:t>）算法，将</w:t>
      </w:r>
      <w:r>
        <w:t xml:space="preserve"> Q-learning </w:t>
      </w:r>
      <w:r>
        <w:t>的动作偏好学习与</w:t>
      </w:r>
      <w:r>
        <w:t xml:space="preserve"> rollout cost-to-go </w:t>
      </w:r>
      <w:r>
        <w:t>前瞻评价结合起来。算法采用六维离散状态表示、完整任务</w:t>
      </w:r>
      <w:r>
        <w:t>-</w:t>
      </w:r>
      <w:r>
        <w:t>人员动作三元组、局部奖励与全局奖励联合更新、</w:t>
      </w:r>
      <w:r>
        <w:t xml:space="preserve">checkpoint </w:t>
      </w:r>
      <w:r>
        <w:t>策略以及</w:t>
      </w:r>
      <w:r>
        <w:t xml:space="preserve"> beam search </w:t>
      </w:r>
      <w:r>
        <w:t>构解机制。基于</w:t>
      </w:r>
      <w:r>
        <w:t xml:space="preserve"> J10-J60 </w:t>
      </w:r>
      <w:r>
        <w:t>案例的计算实验表明，</w:t>
      </w:r>
      <w:r>
        <w:t xml:space="preserve">RQL </w:t>
      </w:r>
      <w:r>
        <w:t>在所有主要规模上均取得最低的平均总加权延迟惩罚。相对于</w:t>
      </w:r>
      <w:r>
        <w:t xml:space="preserve"> rollout </w:t>
      </w:r>
      <w:r>
        <w:t>启发式</w:t>
      </w:r>
      <w:r>
        <w:t xml:space="preserve"> RH</w:t>
      </w:r>
      <w:r>
        <w:t>，</w:t>
      </w:r>
      <w:r>
        <w:t xml:space="preserve">RQL </w:t>
      </w:r>
      <w:r>
        <w:t>在</w:t>
      </w:r>
      <w:r>
        <w:t xml:space="preserve"> J10</w:t>
      </w:r>
      <w:r>
        <w:t>、</w:t>
      </w:r>
      <w:r>
        <w:t>J20</w:t>
      </w:r>
      <w:r>
        <w:t>、</w:t>
      </w:r>
      <w:r>
        <w:t xml:space="preserve">J30 </w:t>
      </w:r>
      <w:r>
        <w:t>和</w:t>
      </w:r>
      <w:r>
        <w:t xml:space="preserve"> J60 </w:t>
      </w:r>
      <w:r>
        <w:t>上的</w:t>
      </w:r>
      <w:r>
        <w:t xml:space="preserve"> AOTV </w:t>
      </w:r>
      <w:r>
        <w:t>分别降低</w:t>
      </w:r>
      <w:r>
        <w:t xml:space="preserve"> 10.7%</w:t>
      </w:r>
      <w:r>
        <w:t>、</w:t>
      </w:r>
      <w:r>
        <w:t>16.3%</w:t>
      </w:r>
      <w:r>
        <w:t>、</w:t>
      </w:r>
      <w:r>
        <w:t xml:space="preserve">7.6% </w:t>
      </w:r>
      <w:r>
        <w:t>和</w:t>
      </w:r>
      <w:r>
        <w:t xml:space="preserve"> 10.6%</w:t>
      </w:r>
      <w:r>
        <w:t>。同时，收敛性分析显示</w:t>
      </w:r>
      <w:r>
        <w:t xml:space="preserve"> RQL </w:t>
      </w:r>
      <w:r>
        <w:t>在</w:t>
      </w:r>
      <w:r>
        <w:t xml:space="preserve"> J10-J20 </w:t>
      </w:r>
      <w:r>
        <w:t>上具有较清晰的收敛趋势，在</w:t>
      </w:r>
      <w:r>
        <w:t xml:space="preserve"> J30 </w:t>
      </w:r>
      <w:r>
        <w:t>上表现为有效改善但仍有波动，在</w:t>
      </w:r>
      <w:r>
        <w:t xml:space="preserve"> J60 </w:t>
      </w:r>
      <w:r>
        <w:t>上尚未达到当前</w:t>
      </w:r>
      <w:r>
        <w:t xml:space="preserve"> Q </w:t>
      </w:r>
      <w:r>
        <w:t>表变化阈值。结果说明，</w:t>
      </w:r>
      <w:r>
        <w:t xml:space="preserve">RQL </w:t>
      </w:r>
      <w:r>
        <w:t>更适合作为解质量优先的动态调度算法，而不是低耗时快速启发式方法。</w:t>
      </w:r>
    </w:p>
    <w:p w14:paraId="27F4C0D1" w14:textId="77777777" w:rsidR="004E7069" w:rsidRDefault="006943E1">
      <w:pPr>
        <w:spacing w:before="80" w:after="80"/>
        <w:ind w:firstLine="420"/>
      </w:pPr>
      <w:r>
        <w:rPr>
          <w:b/>
        </w:rPr>
        <w:t>关键词</w:t>
      </w:r>
      <w:r>
        <w:t>：项目调度；强化学习；</w:t>
      </w:r>
      <w:r>
        <w:t xml:space="preserve">Rollout </w:t>
      </w:r>
      <w:r>
        <w:t>算法；</w:t>
      </w:r>
      <w:r>
        <w:t>Q-learning</w:t>
      </w:r>
      <w:r>
        <w:t>；多技能调度；里程碑延迟；可中断任务</w:t>
      </w:r>
    </w:p>
    <w:p w14:paraId="7395DEF3" w14:textId="77777777" w:rsidR="004E7069" w:rsidRDefault="006943E1">
      <w:pPr>
        <w:pStyle w:val="1"/>
        <w:spacing w:before="260" w:after="160"/>
      </w:pPr>
      <w:r>
        <w:t xml:space="preserve">1 </w:t>
      </w:r>
      <w:r>
        <w:t>引言</w:t>
      </w:r>
    </w:p>
    <w:p w14:paraId="579705FD" w14:textId="77777777" w:rsidR="004E7069" w:rsidRDefault="006943E1">
      <w:pPr>
        <w:spacing w:before="80" w:after="80"/>
        <w:ind w:firstLine="420"/>
      </w:pPr>
      <w:r>
        <w:t>服务型项目和知识密集型项目通常需要多名具备不同技能的人员协同完成。例如，软件开发、工程服务、技术咨询和运维项目往往包含复杂的任务网络，每个</w:t>
      </w:r>
      <w:r>
        <w:t>任务存在紧前紧后约束，并且只有具备相应技能的人员才能执行。即使多个服务人员均满足技能要求，他们完成同一任务所需的处理时间也可能不同。因此，调度算法需要同时决定</w:t>
      </w:r>
      <w:r>
        <w:t>“</w:t>
      </w:r>
      <w:r>
        <w:t>执行哪个任务</w:t>
      </w:r>
      <w:r>
        <w:t>”</w:t>
      </w:r>
      <w:r>
        <w:t>和</w:t>
      </w:r>
      <w:r>
        <w:t>“</w:t>
      </w:r>
      <w:r>
        <w:t>由哪个人员执行</w:t>
      </w:r>
      <w:r>
        <w:t>”</w:t>
      </w:r>
      <w:r>
        <w:t>。</w:t>
      </w:r>
    </w:p>
    <w:p w14:paraId="57CDA289" w14:textId="77777777" w:rsidR="004E7069" w:rsidRDefault="006943E1">
      <w:pPr>
        <w:spacing w:before="80" w:after="80"/>
        <w:ind w:firstLine="420"/>
      </w:pPr>
      <w:r>
        <w:lastRenderedPageBreak/>
        <w:t>项目交付过程中的里程碑约束进一步增加了调度难度。在许多实际项目中，最终完工时间并不是唯一目标。中间里程碑可能对应客户评审、阶段性交付、系统集成或合同节点。某个关键里程碑的延迟会直接带来惩罚，即使项目最终能够按时完成，也可能已经造成阶段性损失。因此，与单一</w:t>
      </w:r>
      <w:r>
        <w:t xml:space="preserve"> makespan </w:t>
      </w:r>
      <w:r>
        <w:t>目标不同，多里程碑调度需要关注项目执行过</w:t>
      </w:r>
      <w:r>
        <w:t>程中多个时间点的加权延迟风险。</w:t>
      </w:r>
    </w:p>
    <w:p w14:paraId="06E143A1" w14:textId="77777777" w:rsidR="004E7069" w:rsidRDefault="006943E1">
      <w:pPr>
        <w:spacing w:before="80" w:after="80"/>
        <w:ind w:firstLine="420"/>
      </w:pPr>
      <w:r>
        <w:t>本文研究的问题还包含任务可中断特征。当某项任务被中断时，系统需要记录原执行人员和剩余处理时间，后续只能由原执行人员从原进度恢复执行。这一设定符合知识连续性、责任归属和上下文切换成本较高的服务项目场景。然而，中断机制会使当前资源决策与未来恢复约束相互耦合，从而增加调度决策的长期影响。</w:t>
      </w:r>
    </w:p>
    <w:p w14:paraId="0AEC3382" w14:textId="77777777" w:rsidR="004E7069" w:rsidRDefault="006943E1">
      <w:pPr>
        <w:spacing w:before="80" w:after="80"/>
        <w:ind w:firstLine="420"/>
      </w:pPr>
      <w:r>
        <w:t>启发式调度规则是解决此类问题的常见基线。最短处理时间、最早完成时间、松弛时间优先、后继任务数优先等规则具有实现简单和运行速度快的优势。但这些规则的决策逻辑通常是固定的，难以根据里程碑紧迫程度、人员</w:t>
      </w:r>
      <w:r>
        <w:t>利用率和中断任务状态动态调整。强化学习为学习状态相关的动作偏好提供了可能，但普通</w:t>
      </w:r>
      <w:r>
        <w:t xml:space="preserve"> Q-learning </w:t>
      </w:r>
      <w:r>
        <w:t>在本问题中面临两个障碍：第一，主要优化目标来自项目完成后的里程碑惩罚，奖励信号具有延迟性和稀疏性；第二，动作空间由任务、人员和动作类型共同构成，候选动作数量较多，训练过程中不同动作的</w:t>
      </w:r>
      <w:r>
        <w:t xml:space="preserve"> Q </w:t>
      </w:r>
      <w:r>
        <w:t>值容易接近，导致最终构解被误导。</w:t>
      </w:r>
    </w:p>
    <w:p w14:paraId="2280C8A9" w14:textId="77777777" w:rsidR="004E7069" w:rsidRDefault="006943E1">
      <w:pPr>
        <w:spacing w:before="80" w:after="80"/>
        <w:ind w:firstLine="420"/>
      </w:pPr>
      <w:r>
        <w:t>针对上述问题，本文提出</w:t>
      </w:r>
      <w:r>
        <w:t xml:space="preserve"> Rollout-Q-learning </w:t>
      </w:r>
      <w:r>
        <w:t>算法。其核心思想是：利用</w:t>
      </w:r>
      <w:r>
        <w:t xml:space="preserve"> Q-learning </w:t>
      </w:r>
      <w:r>
        <w:t>在重复训练中积累状态</w:t>
      </w:r>
      <w:r>
        <w:t>-</w:t>
      </w:r>
      <w:r>
        <w:t>动作偏好，同时利用</w:t>
      </w:r>
      <w:r>
        <w:t xml:space="preserve"> rollout cost-to-g</w:t>
      </w:r>
      <w:r>
        <w:t xml:space="preserve">o </w:t>
      </w:r>
      <w:r>
        <w:t>对候选动作的未来影响进行前瞻评价。在训练阶段，</w:t>
      </w:r>
      <w:r>
        <w:t xml:space="preserve">cost-to-go </w:t>
      </w:r>
      <w:r>
        <w:t>前瞻收益作为局部奖励的一部分参与</w:t>
      </w:r>
      <w:r>
        <w:t xml:space="preserve"> Q </w:t>
      </w:r>
      <w:r>
        <w:t>表更新；在最终构解阶段，当</w:t>
      </w:r>
      <w:r>
        <w:t xml:space="preserve"> Q </w:t>
      </w:r>
      <w:r>
        <w:t>值区分度不足时，算法使用</w:t>
      </w:r>
      <w:r>
        <w:t xml:space="preserve"> cost-to-go fallback </w:t>
      </w:r>
      <w:r>
        <w:t>和</w:t>
      </w:r>
      <w:r>
        <w:t xml:space="preserve"> beam search </w:t>
      </w:r>
      <w:r>
        <w:t>辅助动作选择。这样，</w:t>
      </w:r>
      <w:r>
        <w:t xml:space="preserve">RQL </w:t>
      </w:r>
      <w:r>
        <w:t>将学习能力和前瞻评估能力结合起来，避免纯启发式缺乏学习能力，也缓解普通</w:t>
      </w:r>
      <w:r>
        <w:t xml:space="preserve"> Q-learning </w:t>
      </w:r>
      <w:r>
        <w:t>缺少有效前瞻信号的问题。</w:t>
      </w:r>
    </w:p>
    <w:p w14:paraId="419ECB58" w14:textId="77777777" w:rsidR="004E7069" w:rsidRDefault="006943E1">
      <w:pPr>
        <w:spacing w:before="80" w:after="80"/>
        <w:ind w:firstLine="420"/>
      </w:pPr>
      <w:r>
        <w:t>本文主要贡献如下：</w:t>
      </w:r>
    </w:p>
    <w:p w14:paraId="03EBC18B" w14:textId="77777777" w:rsidR="004E7069" w:rsidRDefault="006943E1" w:rsidP="006943E1">
      <w:pPr>
        <w:numPr>
          <w:ilvl w:val="0"/>
          <w:numId w:val="1"/>
        </w:numPr>
        <w:spacing w:before="40" w:after="40"/>
      </w:pPr>
      <w:r>
        <w:t>构建了面向多技能人员、可中断任务和多加权里程碑的动态项目调度框架。</w:t>
      </w:r>
    </w:p>
    <w:p w14:paraId="066CAB6B" w14:textId="77777777" w:rsidR="004E7069" w:rsidRDefault="006943E1" w:rsidP="006943E1">
      <w:pPr>
        <w:numPr>
          <w:ilvl w:val="0"/>
          <w:numId w:val="1"/>
        </w:numPr>
        <w:spacing w:before="40" w:after="40"/>
      </w:pPr>
      <w:r>
        <w:t>提出</w:t>
      </w:r>
      <w:r>
        <w:t xml:space="preserve"> RQL </w:t>
      </w:r>
      <w:r>
        <w:t>算法，将</w:t>
      </w:r>
      <w:r>
        <w:t xml:space="preserve"> Q-learni</w:t>
      </w:r>
      <w:r>
        <w:t>ng</w:t>
      </w:r>
      <w:r>
        <w:t>、</w:t>
      </w:r>
      <w:r>
        <w:t>rollout cost-to-go</w:t>
      </w:r>
      <w:r>
        <w:t>、</w:t>
      </w:r>
      <w:r>
        <w:t xml:space="preserve">checkpoint </w:t>
      </w:r>
      <w:r>
        <w:t>和</w:t>
      </w:r>
      <w:r>
        <w:t xml:space="preserve"> beam search </w:t>
      </w:r>
      <w:r>
        <w:t>结合到统一调度构解流程中。</w:t>
      </w:r>
    </w:p>
    <w:p w14:paraId="11F8EB03" w14:textId="77777777" w:rsidR="004E7069" w:rsidRDefault="006943E1" w:rsidP="006943E1">
      <w:pPr>
        <w:numPr>
          <w:ilvl w:val="0"/>
          <w:numId w:val="1"/>
        </w:numPr>
        <w:spacing w:before="40" w:after="40"/>
      </w:pPr>
      <w:r>
        <w:t>设计了六维离散状态表示，包括</w:t>
      </w:r>
      <w:r>
        <w:t xml:space="preserve"> NLF</w:t>
      </w:r>
      <w:r>
        <w:t>、</w:t>
      </w:r>
      <w:r>
        <w:t>SBI</w:t>
      </w:r>
      <w:r>
        <w:t>、</w:t>
      </w:r>
      <w:r>
        <w:t>MUR</w:t>
      </w:r>
      <w:r>
        <w:t>、</w:t>
      </w:r>
      <w:r>
        <w:t>RUR</w:t>
      </w:r>
      <w:r>
        <w:t>、</w:t>
      </w:r>
      <w:r>
        <w:t xml:space="preserve">CRT </w:t>
      </w:r>
      <w:r>
        <w:t>和</w:t>
      </w:r>
      <w:r>
        <w:t xml:space="preserve"> ITN</w:t>
      </w:r>
      <w:r>
        <w:t>，并采用完整动作三元组</w:t>
      </w:r>
      <w:r>
        <w:t xml:space="preserve"> </w:t>
      </w:r>
      <w:r>
        <w:rPr>
          <w:rFonts w:ascii="Consolas" w:eastAsia="Consolas" w:hAnsi="Consolas"/>
          <w:color w:val="444444"/>
        </w:rPr>
        <w:t>(action_type, task_id, person_id)</w:t>
      </w:r>
      <w:r>
        <w:t xml:space="preserve"> </w:t>
      </w:r>
      <w:r>
        <w:t>避免动作价值混淆。</w:t>
      </w:r>
    </w:p>
    <w:p w14:paraId="155C7BFA" w14:textId="77777777" w:rsidR="004E7069" w:rsidRDefault="006943E1" w:rsidP="006943E1">
      <w:pPr>
        <w:numPr>
          <w:ilvl w:val="0"/>
          <w:numId w:val="1"/>
        </w:numPr>
        <w:spacing w:before="40" w:after="40"/>
      </w:pPr>
      <w:r>
        <w:t>在</w:t>
      </w:r>
      <w:r>
        <w:t xml:space="preserve"> J10-J60 </w:t>
      </w:r>
      <w:r>
        <w:t>案例上与确定性启发式、</w:t>
      </w:r>
      <w:r>
        <w:t xml:space="preserve">rollout </w:t>
      </w:r>
      <w:r>
        <w:t>启发式和普通</w:t>
      </w:r>
      <w:r>
        <w:t xml:space="preserve"> Q-learning </w:t>
      </w:r>
      <w:r>
        <w:t>进行对比，验证</w:t>
      </w:r>
      <w:r>
        <w:t xml:space="preserve"> RQL </w:t>
      </w:r>
      <w:r>
        <w:t>的解质量优势，并分析其运行时间和收敛边界。</w:t>
      </w:r>
    </w:p>
    <w:p w14:paraId="180CEDE7" w14:textId="77777777" w:rsidR="004E7069" w:rsidRDefault="006943E1">
      <w:pPr>
        <w:pStyle w:val="1"/>
        <w:spacing w:before="260" w:after="160"/>
      </w:pPr>
      <w:r>
        <w:t xml:space="preserve">2 </w:t>
      </w:r>
      <w:r>
        <w:t>问题描述</w:t>
      </w:r>
    </w:p>
    <w:p w14:paraId="430F86B7" w14:textId="77777777" w:rsidR="004E7069" w:rsidRDefault="006943E1">
      <w:pPr>
        <w:spacing w:before="80" w:after="80"/>
        <w:ind w:firstLine="420"/>
      </w:pPr>
      <w:r>
        <w:t>考虑一个由</w:t>
      </w:r>
      <w:r>
        <w:t xml:space="preserve"> </w:t>
      </w:r>
      <w:r>
        <w:rPr>
          <w:rFonts w:ascii="Consolas" w:eastAsia="Consolas" w:hAnsi="Consolas"/>
          <w:color w:val="444444"/>
        </w:rPr>
        <w:t>n</w:t>
      </w:r>
      <w:r>
        <w:t xml:space="preserve"> </w:t>
      </w:r>
      <w:r>
        <w:t>个任务</w:t>
      </w:r>
      <w:r>
        <w:t>节点构成的项目网络。项目网络包含任务之间的紧前紧后约束，同时包含虚拟起点和虚拟终点。因此，</w:t>
      </w:r>
      <w:r>
        <w:t xml:space="preserve">J10 </w:t>
      </w:r>
      <w:r>
        <w:t>案例表示</w:t>
      </w:r>
      <w:r>
        <w:t xml:space="preserve"> 10 </w:t>
      </w:r>
      <w:r>
        <w:t>个真实任务，对应文件中的总节点数为</w:t>
      </w:r>
      <w:r>
        <w:t xml:space="preserve"> 12</w:t>
      </w:r>
      <w:r>
        <w:t>。任一任务只有在其所有紧前任务完成后才能开始。</w:t>
      </w:r>
    </w:p>
    <w:p w14:paraId="45B0057A" w14:textId="77777777" w:rsidR="004E7069" w:rsidRDefault="006943E1">
      <w:pPr>
        <w:spacing w:before="80" w:after="80"/>
        <w:ind w:firstLine="420"/>
      </w:pPr>
      <w:r>
        <w:t>项目由若干名服务人员执行。每名服务人员具有特定技能集合和技能水平。对于某项任务，只有具备任务所需技能的人员才是可行人员。不同人员执行同一任务时处理时间可以不同，因此人员分配会直接影响任务完成时间和后续里程碑风险。</w:t>
      </w:r>
    </w:p>
    <w:p w14:paraId="0CCF01D9" w14:textId="77777777" w:rsidR="004E7069" w:rsidRDefault="006943E1">
      <w:pPr>
        <w:spacing w:before="80" w:after="80"/>
        <w:ind w:firstLine="420"/>
      </w:pPr>
      <w:r>
        <w:t>在任一决策时刻，调度器需要从可行动作集中选择任务</w:t>
      </w:r>
      <w:r>
        <w:t>-</w:t>
      </w:r>
      <w:r>
        <w:t>人员动作。任一服务人员同一时刻最多执行一项任务</w:t>
      </w:r>
      <w:r>
        <w:t>，一个任务同一时刻也只能由一名服务人员执行。当运行任务需要被中断时，系统记录其原执行人员和剩余处理时间。被中断任务后续只能由原执行人员恢复执行。</w:t>
      </w:r>
    </w:p>
    <w:p w14:paraId="7C86A437" w14:textId="77777777" w:rsidR="004E7069" w:rsidRDefault="006943E1">
      <w:pPr>
        <w:spacing w:before="80" w:after="80"/>
        <w:ind w:firstLine="420"/>
      </w:pPr>
      <w:r>
        <w:t>项目中设置多个里程碑事件。第</w:t>
      </w:r>
      <w:r>
        <w:t xml:space="preserve"> </w:t>
      </w:r>
      <w:r>
        <w:rPr>
          <w:rFonts w:ascii="Consolas" w:eastAsia="Consolas" w:hAnsi="Consolas"/>
          <w:color w:val="444444"/>
        </w:rPr>
        <w:t>m</w:t>
      </w:r>
      <w:r>
        <w:t xml:space="preserve"> </w:t>
      </w:r>
      <w:r>
        <w:t>个里程碑具有计划完成时间</w:t>
      </w:r>
      <w:r>
        <w:t xml:space="preserve"> </w:t>
      </w:r>
      <w:r>
        <w:rPr>
          <w:rFonts w:ascii="Consolas" w:eastAsia="Consolas" w:hAnsi="Consolas"/>
          <w:color w:val="444444"/>
        </w:rPr>
        <w:t>D_m</w:t>
      </w:r>
      <w:r>
        <w:t>、实际完成时间</w:t>
      </w:r>
      <w:r>
        <w:t xml:space="preserve"> </w:t>
      </w:r>
      <w:r>
        <w:rPr>
          <w:rFonts w:ascii="Consolas" w:eastAsia="Consolas" w:hAnsi="Consolas"/>
          <w:color w:val="444444"/>
        </w:rPr>
        <w:t>C_m</w:t>
      </w:r>
      <w:r>
        <w:t xml:space="preserve"> </w:t>
      </w:r>
      <w:r>
        <w:t>和惩罚权重</w:t>
      </w:r>
      <w:r>
        <w:t xml:space="preserve"> </w:t>
      </w:r>
      <w:r>
        <w:rPr>
          <w:rFonts w:ascii="Consolas" w:eastAsia="Consolas" w:hAnsi="Consolas"/>
          <w:color w:val="444444"/>
        </w:rPr>
        <w:t>w_m</w:t>
      </w:r>
      <w:r>
        <w:t>。若实际完成时间晚于计划完成时间，则产生加权延迟惩罚。目标函数为：</w:t>
      </w:r>
    </w:p>
    <w:p w14:paraId="5456CFA2" w14:textId="77777777" w:rsidR="004E7069" w:rsidRDefault="006943E1">
      <w:pPr>
        <w:pStyle w:val="CodeBlock"/>
        <w:shd w:val="clear" w:color="auto" w:fill="F5F5F5"/>
        <w:spacing w:before="80" w:after="80"/>
        <w:ind w:left="240" w:right="240"/>
      </w:pPr>
      <w:r>
        <w:rPr>
          <w:color w:val="444444"/>
        </w:rPr>
        <w:t>minimize  sum_m w_m * max(0, C_m - D_m)</w:t>
      </w:r>
    </w:p>
    <w:p w14:paraId="21686B38" w14:textId="77777777" w:rsidR="004E7069" w:rsidRDefault="006943E1">
      <w:pPr>
        <w:spacing w:before="80" w:after="80"/>
        <w:ind w:firstLine="420"/>
      </w:pPr>
      <w:r>
        <w:t>其中，</w:t>
      </w:r>
      <w:r>
        <w:rPr>
          <w:rFonts w:ascii="Consolas" w:eastAsia="Consolas" w:hAnsi="Consolas"/>
          <w:color w:val="444444"/>
        </w:rPr>
        <w:t>max(0, C_m - D_m)</w:t>
      </w:r>
      <w:r>
        <w:t xml:space="preserve"> </w:t>
      </w:r>
      <w:r>
        <w:t>表示里程碑延迟时间。该目标不同于单纯最小化项目总工期，而是更关注多个</w:t>
      </w:r>
      <w:r>
        <w:t>关键交付节点的加权延迟风险。</w:t>
      </w:r>
    </w:p>
    <w:p w14:paraId="3DE6165D" w14:textId="77777777" w:rsidR="004E7069" w:rsidRDefault="006943E1">
      <w:pPr>
        <w:pStyle w:val="1"/>
        <w:spacing w:before="260" w:after="160"/>
      </w:pPr>
      <w:r>
        <w:t xml:space="preserve">3 Rollout-Q-learning </w:t>
      </w:r>
      <w:r>
        <w:t>算法</w:t>
      </w:r>
    </w:p>
    <w:p w14:paraId="3EF4D184" w14:textId="77777777" w:rsidR="004E7069" w:rsidRDefault="006943E1">
      <w:pPr>
        <w:pStyle w:val="2"/>
        <w:spacing w:before="260" w:after="160"/>
      </w:pPr>
      <w:r>
        <w:t xml:space="preserve">3.1 </w:t>
      </w:r>
      <w:r>
        <w:t>算法总体框架</w:t>
      </w:r>
    </w:p>
    <w:p w14:paraId="511685BA" w14:textId="77777777" w:rsidR="004E7069" w:rsidRDefault="006943E1">
      <w:pPr>
        <w:spacing w:before="80" w:after="80"/>
        <w:ind w:firstLine="420"/>
      </w:pPr>
      <w:r>
        <w:t xml:space="preserve">RQL </w:t>
      </w:r>
      <w:r>
        <w:t>包含三个层次。第一层从当前项目环境中提取离散状态特征。第二层通过多轮训练更新</w:t>
      </w:r>
      <w:r>
        <w:t xml:space="preserve"> Q </w:t>
      </w:r>
      <w:r>
        <w:t>表，并在训练过程中结合局部执行反馈、全局里程碑奖励和</w:t>
      </w:r>
      <w:r>
        <w:t xml:space="preserve"> rollout cost-to-go </w:t>
      </w:r>
      <w:r>
        <w:t>前瞻收益。第三层在训练完成后使用</w:t>
      </w:r>
      <w:r>
        <w:t xml:space="preserve"> Q </w:t>
      </w:r>
      <w:r>
        <w:t>表、</w:t>
      </w:r>
      <w:r>
        <w:t xml:space="preserve">cost-to-go fallback </w:t>
      </w:r>
      <w:r>
        <w:t>和</w:t>
      </w:r>
      <w:r>
        <w:t xml:space="preserve"> beam search </w:t>
      </w:r>
      <w:r>
        <w:t>构造最终调度方案。</w:t>
      </w:r>
    </w:p>
    <w:p w14:paraId="68150310" w14:textId="77777777" w:rsidR="004E7069" w:rsidRDefault="006943E1">
      <w:pPr>
        <w:spacing w:before="80" w:after="80"/>
        <w:ind w:firstLine="420"/>
      </w:pPr>
      <w:r>
        <w:t>该算法的设计动机在于：调度过程中经常存在多个看似相近的候选动作。纯启发式规则容易因为局部指标而忽略后续里程碑风险；普通</w:t>
      </w:r>
      <w:r>
        <w:t xml:space="preserve"> Q-learning </w:t>
      </w:r>
      <w:r>
        <w:t>又可能因为</w:t>
      </w:r>
      <w:r>
        <w:t xml:space="preserve"> Q </w:t>
      </w:r>
      <w:r>
        <w:t>值尚未充分区分而选择错误动作。</w:t>
      </w:r>
      <w:r>
        <w:t xml:space="preserve">Rollout cost-to-go </w:t>
      </w:r>
      <w:r>
        <w:t>通过对候选动作后续影响进行模拟评价，为动作选择提供短期前瞻信息。</w:t>
      </w:r>
    </w:p>
    <w:p w14:paraId="09237C7E" w14:textId="77777777" w:rsidR="004E7069" w:rsidRDefault="006943E1">
      <w:pPr>
        <w:pStyle w:val="2"/>
        <w:spacing w:before="260" w:after="160"/>
      </w:pPr>
      <w:r>
        <w:t xml:space="preserve">3.2 </w:t>
      </w:r>
      <w:r>
        <w:t>状态与动作表示</w:t>
      </w:r>
    </w:p>
    <w:p w14:paraId="316BB508" w14:textId="77777777" w:rsidR="004E7069" w:rsidRDefault="006943E1">
      <w:pPr>
        <w:spacing w:before="80" w:after="80"/>
        <w:ind w:firstLine="420"/>
      </w:pPr>
      <w:r>
        <w:t>当前代码采用六维离散状态表示：</w:t>
      </w:r>
    </w:p>
    <w:p w14:paraId="0C0CC3C9" w14:textId="77777777" w:rsidR="004E7069" w:rsidRDefault="006943E1" w:rsidP="006943E1">
      <w:pPr>
        <w:numPr>
          <w:ilvl w:val="0"/>
          <w:numId w:val="2"/>
        </w:numPr>
        <w:spacing w:before="40" w:after="40"/>
      </w:pPr>
      <w:r>
        <w:rPr>
          <w:rFonts w:ascii="Consolas" w:eastAsia="Consolas" w:hAnsi="Consolas"/>
          <w:color w:val="444444"/>
        </w:rPr>
        <w:t>NLF</w:t>
      </w:r>
      <w:r>
        <w:t>：归一化负载特征。</w:t>
      </w:r>
    </w:p>
    <w:p w14:paraId="60BF9B42" w14:textId="77777777" w:rsidR="004E7069" w:rsidRDefault="006943E1" w:rsidP="006943E1">
      <w:pPr>
        <w:numPr>
          <w:ilvl w:val="0"/>
          <w:numId w:val="2"/>
        </w:numPr>
        <w:spacing w:before="40" w:after="40"/>
      </w:pPr>
      <w:r>
        <w:rPr>
          <w:rFonts w:ascii="Consolas" w:eastAsia="Consolas" w:hAnsi="Consolas"/>
          <w:color w:val="444444"/>
        </w:rPr>
        <w:t>SBI</w:t>
      </w:r>
      <w:r>
        <w:t>：技能瓶颈指标。</w:t>
      </w:r>
    </w:p>
    <w:p w14:paraId="31B41762" w14:textId="77777777" w:rsidR="004E7069" w:rsidRDefault="006943E1" w:rsidP="006943E1">
      <w:pPr>
        <w:numPr>
          <w:ilvl w:val="0"/>
          <w:numId w:val="2"/>
        </w:numPr>
        <w:spacing w:before="40" w:after="40"/>
      </w:pPr>
      <w:r>
        <w:rPr>
          <w:rFonts w:ascii="Consolas" w:eastAsia="Consolas" w:hAnsi="Consolas"/>
          <w:color w:val="444444"/>
        </w:rPr>
        <w:t>MUR</w:t>
      </w:r>
      <w:r>
        <w:t>：里程碑紧迫程度。</w:t>
      </w:r>
    </w:p>
    <w:p w14:paraId="64F1CD5C" w14:textId="77777777" w:rsidR="004E7069" w:rsidRDefault="006943E1" w:rsidP="006943E1">
      <w:pPr>
        <w:numPr>
          <w:ilvl w:val="0"/>
          <w:numId w:val="2"/>
        </w:numPr>
        <w:spacing w:before="40" w:after="40"/>
      </w:pPr>
      <w:r>
        <w:rPr>
          <w:rFonts w:ascii="Consolas" w:eastAsia="Consolas" w:hAnsi="Consolas"/>
          <w:color w:val="444444"/>
        </w:rPr>
        <w:t>RUR</w:t>
      </w:r>
      <w:r>
        <w:t>：资源利用率。</w:t>
      </w:r>
    </w:p>
    <w:p w14:paraId="2B603C8E" w14:textId="77777777" w:rsidR="004E7069" w:rsidRDefault="006943E1" w:rsidP="006943E1">
      <w:pPr>
        <w:numPr>
          <w:ilvl w:val="0"/>
          <w:numId w:val="2"/>
        </w:numPr>
        <w:spacing w:before="40" w:after="40"/>
      </w:pPr>
      <w:r>
        <w:rPr>
          <w:rFonts w:ascii="Consolas" w:eastAsia="Consolas" w:hAnsi="Consolas"/>
          <w:color w:val="444444"/>
        </w:rPr>
        <w:t>CRT</w:t>
      </w:r>
      <w:r>
        <w:t>：关键运行任务压力。</w:t>
      </w:r>
    </w:p>
    <w:p w14:paraId="25FFF046" w14:textId="77777777" w:rsidR="004E7069" w:rsidRDefault="006943E1" w:rsidP="006943E1">
      <w:pPr>
        <w:numPr>
          <w:ilvl w:val="0"/>
          <w:numId w:val="2"/>
        </w:numPr>
        <w:spacing w:before="40" w:after="40"/>
      </w:pPr>
      <w:r>
        <w:rPr>
          <w:rFonts w:ascii="Consolas" w:eastAsia="Consolas" w:hAnsi="Consolas"/>
          <w:color w:val="444444"/>
        </w:rPr>
        <w:t>ITN</w:t>
      </w:r>
      <w:r>
        <w:t>：中断任务数量。</w:t>
      </w:r>
    </w:p>
    <w:p w14:paraId="66B17B5A" w14:textId="77777777" w:rsidR="004E7069" w:rsidRDefault="006943E1">
      <w:pPr>
        <w:spacing w:before="80" w:after="80"/>
        <w:ind w:firstLine="420"/>
      </w:pPr>
      <w:r>
        <w:t>这些特征能够在</w:t>
      </w:r>
      <w:r>
        <w:t>保持</w:t>
      </w:r>
      <w:r>
        <w:t xml:space="preserve"> Q </w:t>
      </w:r>
      <w:r>
        <w:t>表规模可控的同时，描述项目负载、人员资源状态、里程碑压力和中断任务压力。动作表示为完整三元组：</w:t>
      </w:r>
    </w:p>
    <w:p w14:paraId="41D6284D" w14:textId="77777777" w:rsidR="004E7069" w:rsidRDefault="006943E1">
      <w:pPr>
        <w:pStyle w:val="CodeBlock"/>
        <w:shd w:val="clear" w:color="auto" w:fill="F5F5F5"/>
        <w:spacing w:before="80" w:after="80"/>
        <w:ind w:left="240" w:right="240"/>
      </w:pPr>
      <w:r>
        <w:rPr>
          <w:color w:val="444444"/>
        </w:rPr>
        <w:t>(action_type, task_id, person_id)</w:t>
      </w:r>
    </w:p>
    <w:p w14:paraId="4FD4EE6F" w14:textId="77777777" w:rsidR="004E7069" w:rsidRDefault="006943E1">
      <w:pPr>
        <w:spacing w:before="80" w:after="80"/>
        <w:ind w:firstLine="420"/>
      </w:pPr>
      <w:r>
        <w:t>其中，动作类型包括任务分配、任务恢复和继续执行。中断动作不作为独立学习动作，而是在人员冲突需要释放资源时由系统自动插入。这样可以避免算法把任意中断视为自由动作，从而减少不合理动作对训练的干扰。</w:t>
      </w:r>
    </w:p>
    <w:p w14:paraId="36CBF7B5" w14:textId="77777777" w:rsidR="004E7069" w:rsidRDefault="006943E1">
      <w:pPr>
        <w:pStyle w:val="2"/>
        <w:spacing w:before="260" w:after="160"/>
      </w:pPr>
      <w:r>
        <w:t xml:space="preserve">3.3 </w:t>
      </w:r>
      <w:r>
        <w:t>奖励设计</w:t>
      </w:r>
    </w:p>
    <w:p w14:paraId="49EABD5C" w14:textId="77777777" w:rsidR="004E7069" w:rsidRDefault="006943E1">
      <w:pPr>
        <w:spacing w:before="80" w:after="80"/>
        <w:ind w:firstLine="420"/>
      </w:pPr>
      <w:r>
        <w:t xml:space="preserve">RQL </w:t>
      </w:r>
      <w:r>
        <w:t>的奖励由局部奖励和全局奖励共同构成。局部奖励包含即时执行反馈和</w:t>
      </w:r>
      <w:r>
        <w:t xml:space="preserve"> cost-to-go </w:t>
      </w:r>
      <w:r>
        <w:t>前瞻收益。全局奖励定义为总加权里程碑延迟惩罚的相反数，因此奖励越接近</w:t>
      </w:r>
      <w:r>
        <w:t xml:space="preserve"> 0</w:t>
      </w:r>
      <w:r>
        <w:t>，说明调度方案的惩罚越小。</w:t>
      </w:r>
    </w:p>
    <w:p w14:paraId="4D6F4DC2" w14:textId="77777777" w:rsidR="004E7069" w:rsidRDefault="006943E1">
      <w:pPr>
        <w:spacing w:before="80" w:after="80"/>
        <w:ind w:firstLine="420"/>
      </w:pPr>
      <w:r>
        <w:t>当前正式参数采用</w:t>
      </w:r>
      <w:r>
        <w:t xml:space="preserve"> scale-specific </w:t>
      </w:r>
      <w:r>
        <w:t>收敛策略。</w:t>
      </w:r>
      <w:r>
        <w:t xml:space="preserve">J10 </w:t>
      </w:r>
      <w:r>
        <w:t>使用</w:t>
      </w:r>
      <w:r>
        <w:t xml:space="preserve"> checkpoint profile</w:t>
      </w:r>
      <w:r>
        <w:t>，</w:t>
      </w:r>
      <w:r>
        <w:t>J20</w:t>
      </w:r>
      <w:r>
        <w:t>、</w:t>
      </w:r>
      <w:r>
        <w:t xml:space="preserve">J30 </w:t>
      </w:r>
      <w:r>
        <w:t>及更大规模使用</w:t>
      </w:r>
      <w:r>
        <w:t xml:space="preserve"> combined profile</w:t>
      </w:r>
      <w:r>
        <w:t>。</w:t>
      </w:r>
      <w:r>
        <w:t xml:space="preserve">combined profile </w:t>
      </w:r>
      <w:r>
        <w:t>包含较低的后期探索率、</w:t>
      </w:r>
      <w:r>
        <w:t xml:space="preserve">checkpoint </w:t>
      </w:r>
      <w:r>
        <w:t>选择、按里程碑惩罚权重总和进行全局奖励归一化，以及</w:t>
      </w:r>
      <w:r>
        <w:t xml:space="preserve"> lookahead </w:t>
      </w:r>
      <w:r>
        <w:t>warm-up</w:t>
      </w:r>
      <w:r>
        <w:t>。其目的在于降低后期随机探索带来的策略波动，并缓解不同规模下奖励量级不一致的问题。</w:t>
      </w:r>
    </w:p>
    <w:p w14:paraId="4206F56D" w14:textId="77777777" w:rsidR="004E7069" w:rsidRDefault="006943E1">
      <w:pPr>
        <w:pStyle w:val="2"/>
        <w:spacing w:before="260" w:after="160"/>
      </w:pPr>
      <w:r>
        <w:t xml:space="preserve">3.4 </w:t>
      </w:r>
      <w:r>
        <w:t>前瞻评价与最终构解</w:t>
      </w:r>
    </w:p>
    <w:p w14:paraId="20022A4B" w14:textId="77777777" w:rsidR="004E7069" w:rsidRDefault="006943E1">
      <w:pPr>
        <w:spacing w:before="80" w:after="80"/>
        <w:ind w:firstLine="420"/>
      </w:pPr>
      <w:r>
        <w:t>训练完成后，算法使用学习得到的</w:t>
      </w:r>
      <w:r>
        <w:t xml:space="preserve"> Q </w:t>
      </w:r>
      <w:r>
        <w:t>表构造最终调度方案。当候选动作的</w:t>
      </w:r>
      <w:r>
        <w:t xml:space="preserve"> Q </w:t>
      </w:r>
      <w:r>
        <w:t>值具有明显差异时，构解过程优先采用</w:t>
      </w:r>
      <w:r>
        <w:t xml:space="preserve"> Q </w:t>
      </w:r>
      <w:r>
        <w:t>表偏好。当</w:t>
      </w:r>
      <w:r>
        <w:t xml:space="preserve"> Q </w:t>
      </w:r>
      <w:r>
        <w:t>值差异不足时，算法调用</w:t>
      </w:r>
      <w:r>
        <w:t xml:space="preserve"> rollout cost-to-go </w:t>
      </w:r>
      <w:r>
        <w:t>对候选动作集的后续惩罚进行估计。</w:t>
      </w:r>
      <w:r>
        <w:t xml:space="preserve">Beam search </w:t>
      </w:r>
      <w:r>
        <w:t>保留多个候选动作集，避免过早陷入单一贪心动作。</w:t>
      </w:r>
    </w:p>
    <w:p w14:paraId="0E1D54F8" w14:textId="77777777" w:rsidR="004E7069" w:rsidRDefault="006943E1">
      <w:pPr>
        <w:spacing w:before="80" w:after="80"/>
        <w:ind w:firstLine="420"/>
      </w:pPr>
      <w:r>
        <w:t>因此，</w:t>
      </w:r>
      <w:r>
        <w:t xml:space="preserve">RQL </w:t>
      </w:r>
      <w:r>
        <w:t>的最终构解不是纯粹的</w:t>
      </w:r>
      <w:r>
        <w:t xml:space="preserve"> Q </w:t>
      </w:r>
      <w:r>
        <w:t>表贪心选择，而是由</w:t>
      </w:r>
      <w:r>
        <w:t xml:space="preserve"> Q </w:t>
      </w:r>
      <w:r>
        <w:t>值、前瞻评价和受控搜索共同</w:t>
      </w:r>
      <w:r>
        <w:t>决定。</w:t>
      </w:r>
    </w:p>
    <w:p w14:paraId="165159C8" w14:textId="77777777" w:rsidR="004E7069" w:rsidRDefault="006943E1">
      <w:pPr>
        <w:pStyle w:val="1"/>
        <w:spacing w:before="260" w:after="160"/>
      </w:pPr>
      <w:r>
        <w:t xml:space="preserve">4 </w:t>
      </w:r>
      <w:r>
        <w:t>实验设计</w:t>
      </w:r>
    </w:p>
    <w:p w14:paraId="49EDFD29" w14:textId="77777777" w:rsidR="004E7069" w:rsidRDefault="006943E1">
      <w:pPr>
        <w:pStyle w:val="2"/>
        <w:spacing w:before="260" w:after="160"/>
      </w:pPr>
      <w:r>
        <w:t xml:space="preserve">4.1 </w:t>
      </w:r>
      <w:r>
        <w:t>案例与实验设置</w:t>
      </w:r>
    </w:p>
    <w:p w14:paraId="4A15EDE1" w14:textId="77777777" w:rsidR="004E7069" w:rsidRDefault="006943E1">
      <w:pPr>
        <w:spacing w:before="80" w:after="80"/>
        <w:ind w:firstLine="420"/>
      </w:pPr>
      <w:r>
        <w:t>实验直接读取</w:t>
      </w:r>
      <w:r>
        <w:t xml:space="preserve"> </w:t>
      </w:r>
      <w:r>
        <w:rPr>
          <w:rFonts w:ascii="Consolas" w:eastAsia="Consolas" w:hAnsi="Consolas"/>
          <w:color w:val="444444"/>
        </w:rPr>
        <w:t>cases/</w:t>
      </w:r>
      <w:r>
        <w:t xml:space="preserve"> </w:t>
      </w:r>
      <w:r>
        <w:t>文件夹中的已有案例。本文主实验关注</w:t>
      </w:r>
      <w:r>
        <w:t xml:space="preserve"> J10</w:t>
      </w:r>
      <w:r>
        <w:t>、</w:t>
      </w:r>
      <w:r>
        <w:t>J20</w:t>
      </w:r>
      <w:r>
        <w:t>、</w:t>
      </w:r>
      <w:r>
        <w:t xml:space="preserve">J30 </w:t>
      </w:r>
      <w:r>
        <w:t>和</w:t>
      </w:r>
      <w:r>
        <w:t xml:space="preserve"> J60</w:t>
      </w:r>
      <w:r>
        <w:t>。</w:t>
      </w:r>
      <w:r>
        <w:t xml:space="preserve">J10-J30 </w:t>
      </w:r>
      <w:r>
        <w:t>每个规模使用</w:t>
      </w:r>
      <w:r>
        <w:t xml:space="preserve"> 100 </w:t>
      </w:r>
      <w:r>
        <w:t>个案例和</w:t>
      </w:r>
      <w:r>
        <w:t xml:space="preserve"> 3 </w:t>
      </w:r>
      <w:r>
        <w:t>个随机</w:t>
      </w:r>
      <w:r>
        <w:t xml:space="preserve"> seed</w:t>
      </w:r>
      <w:r>
        <w:t>；</w:t>
      </w:r>
      <w:r>
        <w:t xml:space="preserve">J60 </w:t>
      </w:r>
      <w:r>
        <w:t>使用</w:t>
      </w:r>
      <w:r>
        <w:t xml:space="preserve"> 20 </w:t>
      </w:r>
      <w:r>
        <w:t>个案例和</w:t>
      </w:r>
      <w:r>
        <w:t xml:space="preserve"> 3 </w:t>
      </w:r>
      <w:r>
        <w:t>个随机</w:t>
      </w:r>
      <w:r>
        <w:t xml:space="preserve"> seed</w:t>
      </w:r>
      <w:r>
        <w:t>。</w:t>
      </w:r>
      <w:r>
        <w:t xml:space="preserve">J60 </w:t>
      </w:r>
      <w:r>
        <w:t>案例数量较少的原因是该规模下</w:t>
      </w:r>
      <w:r>
        <w:t xml:space="preserve"> RQL </w:t>
      </w:r>
      <w:r>
        <w:t>训练时间显著增加。</w:t>
      </w:r>
    </w:p>
    <w:p w14:paraId="46539E5D" w14:textId="77777777" w:rsidR="004E7069" w:rsidRDefault="006943E1">
      <w:pPr>
        <w:pStyle w:val="2"/>
        <w:spacing w:before="260" w:after="160"/>
      </w:pPr>
      <w:r>
        <w:t xml:space="preserve">4.2 </w:t>
      </w:r>
      <w:r>
        <w:t>对比方法</w:t>
      </w:r>
    </w:p>
    <w:p w14:paraId="10EF3685" w14:textId="77777777" w:rsidR="004E7069" w:rsidRDefault="006943E1">
      <w:pPr>
        <w:spacing w:before="80" w:after="80"/>
        <w:ind w:firstLine="420"/>
      </w:pPr>
      <w:r>
        <w:t>本文主表报告以下五类方法：</w:t>
      </w:r>
    </w:p>
    <w:p w14:paraId="440B52E6" w14:textId="77777777" w:rsidR="004E7069" w:rsidRDefault="006943E1" w:rsidP="006943E1">
      <w:pPr>
        <w:numPr>
          <w:ilvl w:val="0"/>
          <w:numId w:val="3"/>
        </w:numPr>
        <w:spacing w:before="40" w:after="40"/>
      </w:pPr>
      <w:r>
        <w:rPr>
          <w:rFonts w:ascii="Consolas" w:eastAsia="Consolas" w:hAnsi="Consolas"/>
          <w:color w:val="444444"/>
        </w:rPr>
        <w:t>RQL</w:t>
      </w:r>
      <w:r>
        <w:t>：本文提出的</w:t>
      </w:r>
      <w:r>
        <w:t xml:space="preserve"> Rollout-Q-learning </w:t>
      </w:r>
      <w:r>
        <w:t>方法。</w:t>
      </w:r>
    </w:p>
    <w:p w14:paraId="01781F72" w14:textId="77777777" w:rsidR="004E7069" w:rsidRDefault="006943E1" w:rsidP="006943E1">
      <w:pPr>
        <w:numPr>
          <w:ilvl w:val="0"/>
          <w:numId w:val="3"/>
        </w:numPr>
        <w:spacing w:before="40" w:after="40"/>
      </w:pPr>
      <w:r>
        <w:rPr>
          <w:rFonts w:ascii="Consolas" w:eastAsia="Consolas" w:hAnsi="Consolas"/>
          <w:color w:val="444444"/>
        </w:rPr>
        <w:t>RH</w:t>
      </w:r>
      <w:r>
        <w:t>：不训练</w:t>
      </w:r>
      <w:r>
        <w:t xml:space="preserve"> Q </w:t>
      </w:r>
      <w:r>
        <w:t>表的纯</w:t>
      </w:r>
      <w:r>
        <w:t xml:space="preserve"> rollout </w:t>
      </w:r>
      <w:r>
        <w:t>启发式方法。</w:t>
      </w:r>
    </w:p>
    <w:p w14:paraId="785AFC60" w14:textId="77777777" w:rsidR="004E7069" w:rsidRDefault="006943E1" w:rsidP="006943E1">
      <w:pPr>
        <w:numPr>
          <w:ilvl w:val="0"/>
          <w:numId w:val="3"/>
        </w:numPr>
        <w:spacing w:before="40" w:after="40"/>
      </w:pPr>
      <w:r>
        <w:rPr>
          <w:rFonts w:ascii="Consolas" w:eastAsia="Consolas" w:hAnsi="Consolas"/>
          <w:color w:val="444444"/>
        </w:rPr>
        <w:t>MXS+MF</w:t>
      </w:r>
      <w:r>
        <w:t>：先选择后继任务数最多的任务，再选择预计完成时间最早的可行人员。</w:t>
      </w:r>
    </w:p>
    <w:p w14:paraId="5590F645" w14:textId="77777777" w:rsidR="004E7069" w:rsidRDefault="006943E1" w:rsidP="006943E1">
      <w:pPr>
        <w:numPr>
          <w:ilvl w:val="0"/>
          <w:numId w:val="3"/>
        </w:numPr>
        <w:spacing w:before="40" w:after="40"/>
      </w:pPr>
      <w:r>
        <w:rPr>
          <w:rFonts w:ascii="Consolas" w:eastAsia="Consolas" w:hAnsi="Consolas"/>
          <w:color w:val="444444"/>
        </w:rPr>
        <w:t>MPV-SLK-EFT</w:t>
      </w:r>
      <w:r>
        <w:t>：结合里程碑优先、松弛时间和最早完成时间的启发式方法。</w:t>
      </w:r>
    </w:p>
    <w:p w14:paraId="3544A323" w14:textId="77777777" w:rsidR="004E7069" w:rsidRDefault="006943E1" w:rsidP="006943E1">
      <w:pPr>
        <w:numPr>
          <w:ilvl w:val="0"/>
          <w:numId w:val="3"/>
        </w:numPr>
        <w:spacing w:before="40" w:after="40"/>
      </w:pPr>
      <w:r>
        <w:rPr>
          <w:rFonts w:ascii="Consolas" w:eastAsia="Consolas" w:hAnsi="Consolas"/>
          <w:color w:val="444444"/>
        </w:rPr>
        <w:t>QL</w:t>
      </w:r>
      <w:r>
        <w:t>：不使用</w:t>
      </w:r>
      <w:r>
        <w:t xml:space="preserve"> rollout cost-to-go </w:t>
      </w:r>
      <w:r>
        <w:t>辅助的普通</w:t>
      </w:r>
      <w:r>
        <w:t xml:space="preserve"> Q-learning</w:t>
      </w:r>
      <w:r>
        <w:t>。</w:t>
      </w:r>
    </w:p>
    <w:p w14:paraId="25334909" w14:textId="77777777" w:rsidR="004E7069" w:rsidRDefault="006943E1">
      <w:pPr>
        <w:pStyle w:val="2"/>
        <w:spacing w:before="260" w:after="160"/>
      </w:pPr>
      <w:r>
        <w:t xml:space="preserve">4.3 </w:t>
      </w:r>
      <w:r>
        <w:t>评价指标</w:t>
      </w:r>
    </w:p>
    <w:p w14:paraId="3B85B782" w14:textId="77777777" w:rsidR="004E7069" w:rsidRDefault="006943E1">
      <w:pPr>
        <w:spacing w:before="80" w:after="80"/>
        <w:ind w:firstLine="420"/>
      </w:pPr>
      <w:r>
        <w:t>主要评价指标包括：</w:t>
      </w:r>
    </w:p>
    <w:p w14:paraId="13DDDCE2" w14:textId="77777777" w:rsidR="004E7069" w:rsidRDefault="006943E1" w:rsidP="006943E1">
      <w:pPr>
        <w:numPr>
          <w:ilvl w:val="0"/>
          <w:numId w:val="4"/>
        </w:numPr>
        <w:spacing w:before="40" w:after="40"/>
      </w:pPr>
      <w:r>
        <w:rPr>
          <w:rFonts w:ascii="Consolas" w:eastAsia="Consolas" w:hAnsi="Consolas"/>
          <w:color w:val="444444"/>
        </w:rPr>
        <w:t>AOTV</w:t>
      </w:r>
      <w:r>
        <w:t>：同一规模下所有案例的平均总加权延迟惩罚。</w:t>
      </w:r>
    </w:p>
    <w:p w14:paraId="416F77BC" w14:textId="77777777" w:rsidR="004E7069" w:rsidRDefault="006943E1" w:rsidP="006943E1">
      <w:pPr>
        <w:numPr>
          <w:ilvl w:val="0"/>
          <w:numId w:val="4"/>
        </w:numPr>
        <w:spacing w:before="40" w:after="40"/>
      </w:pPr>
      <w:r>
        <w:rPr>
          <w:rFonts w:ascii="Consolas" w:eastAsia="Consolas" w:hAnsi="Consolas"/>
          <w:color w:val="444444"/>
        </w:rPr>
        <w:t>Std</w:t>
      </w:r>
      <w:r>
        <w:t>：实例级平均</w:t>
      </w:r>
      <w:r>
        <w:t xml:space="preserve"> penalty </w:t>
      </w:r>
      <w:r>
        <w:t>的标准差。</w:t>
      </w:r>
    </w:p>
    <w:p w14:paraId="6C513286" w14:textId="77777777" w:rsidR="004E7069" w:rsidRDefault="006943E1" w:rsidP="006943E1">
      <w:pPr>
        <w:numPr>
          <w:ilvl w:val="0"/>
          <w:numId w:val="4"/>
        </w:numPr>
        <w:spacing w:before="40" w:after="40"/>
      </w:pPr>
      <w:r>
        <w:rPr>
          <w:rFonts w:ascii="Consolas" w:eastAsia="Consolas" w:hAnsi="Consolas"/>
          <w:color w:val="444444"/>
        </w:rPr>
        <w:t>ARPD</w:t>
      </w:r>
      <w:r>
        <w:t>：相对于同一案例最优结果的平均百分比偏差。</w:t>
      </w:r>
    </w:p>
    <w:p w14:paraId="020C269C" w14:textId="77777777" w:rsidR="004E7069" w:rsidRDefault="006943E1" w:rsidP="006943E1">
      <w:pPr>
        <w:numPr>
          <w:ilvl w:val="0"/>
          <w:numId w:val="4"/>
        </w:numPr>
        <w:spacing w:before="40" w:after="40"/>
      </w:pPr>
      <w:r>
        <w:rPr>
          <w:rFonts w:ascii="Consolas" w:eastAsia="Consolas" w:hAnsi="Consolas"/>
          <w:color w:val="444444"/>
        </w:rPr>
        <w:t>Time</w:t>
      </w:r>
      <w:r>
        <w:t>：总运行时间，包括训练时间和最终构解时间。</w:t>
      </w:r>
    </w:p>
    <w:p w14:paraId="2731DFC0" w14:textId="77777777" w:rsidR="004E7069" w:rsidRDefault="006943E1">
      <w:pPr>
        <w:spacing w:before="80" w:after="80"/>
        <w:ind w:firstLine="420"/>
      </w:pPr>
      <w:r>
        <w:t>对于</w:t>
      </w:r>
      <w:r>
        <w:t xml:space="preserve"> AOTV</w:t>
      </w:r>
      <w:r>
        <w:t>、</w:t>
      </w:r>
      <w:r>
        <w:t>Std</w:t>
      </w:r>
      <w:r>
        <w:t>、</w:t>
      </w:r>
      <w:r>
        <w:t>A</w:t>
      </w:r>
      <w:r>
        <w:t xml:space="preserve">RPD </w:t>
      </w:r>
      <w:r>
        <w:t>和</w:t>
      </w:r>
      <w:r>
        <w:t xml:space="preserve"> Time</w:t>
      </w:r>
      <w:r>
        <w:t>，数值越小越好。但</w:t>
      </w:r>
      <w:r>
        <w:t xml:space="preserve"> Time </w:t>
      </w:r>
      <w:r>
        <w:t>表示计算成本，不直接代表解质量。</w:t>
      </w:r>
    </w:p>
    <w:p w14:paraId="3F61A19E" w14:textId="77777777" w:rsidR="004E7069" w:rsidRDefault="006943E1">
      <w:pPr>
        <w:pStyle w:val="1"/>
        <w:spacing w:before="260" w:after="160"/>
      </w:pPr>
      <w:r>
        <w:t xml:space="preserve">5 </w:t>
      </w:r>
      <w:r>
        <w:t>实验结果</w:t>
      </w:r>
    </w:p>
    <w:p w14:paraId="1F820537" w14:textId="77777777" w:rsidR="004E7069" w:rsidRDefault="006943E1">
      <w:pPr>
        <w:pStyle w:val="2"/>
        <w:spacing w:before="260" w:after="160"/>
      </w:pPr>
      <w:r>
        <w:t xml:space="preserve">5.1 RQL </w:t>
      </w:r>
      <w:r>
        <w:t>在各规模上取得最低平均延迟惩罚</w:t>
      </w:r>
    </w:p>
    <w:p w14:paraId="5A0EC826" w14:textId="77777777" w:rsidR="004E7069" w:rsidRDefault="006943E1">
      <w:pPr>
        <w:spacing w:before="80" w:after="80"/>
        <w:ind w:firstLine="420"/>
      </w:pPr>
      <w:r>
        <w:t>表</w:t>
      </w:r>
      <w:r>
        <w:t xml:space="preserve"> 1 </w:t>
      </w:r>
      <w:r>
        <w:t>给出了</w:t>
      </w:r>
      <w:r>
        <w:t xml:space="preserve"> J10-J60 </w:t>
      </w:r>
      <w:r>
        <w:t>上的主实验结果。</w:t>
      </w:r>
      <w:r>
        <w:t xml:space="preserve">RQL </w:t>
      </w:r>
      <w:r>
        <w:t>在四个规模上均取得最低</w:t>
      </w:r>
      <w:r>
        <w:t xml:space="preserve"> AOTV</w:t>
      </w:r>
      <w:r>
        <w:t>。</w:t>
      </w:r>
      <w:r>
        <w:t xml:space="preserve">J10 </w:t>
      </w:r>
      <w:r>
        <w:t>上，</w:t>
      </w:r>
      <w:r>
        <w:t xml:space="preserve">RQL </w:t>
      </w:r>
      <w:r>
        <w:t>的</w:t>
      </w:r>
      <w:r>
        <w:t xml:space="preserve"> AOTV </w:t>
      </w:r>
      <w:r>
        <w:t>为</w:t>
      </w:r>
      <w:r>
        <w:t xml:space="preserve"> 1.301</w:t>
      </w:r>
      <w:r>
        <w:t>，低于</w:t>
      </w:r>
      <w:r>
        <w:t xml:space="preserve"> RH </w:t>
      </w:r>
      <w:r>
        <w:t>的</w:t>
      </w:r>
      <w:r>
        <w:t xml:space="preserve"> 1.457 </w:t>
      </w:r>
      <w:r>
        <w:t>和</w:t>
      </w:r>
      <w:r>
        <w:t xml:space="preserve"> QL </w:t>
      </w:r>
      <w:r>
        <w:t>的</w:t>
      </w:r>
      <w:r>
        <w:t xml:space="preserve"> 1.992</w:t>
      </w:r>
      <w:r>
        <w:t>。</w:t>
      </w:r>
      <w:r>
        <w:t xml:space="preserve">J20 </w:t>
      </w:r>
      <w:r>
        <w:t>上，</w:t>
      </w:r>
      <w:r>
        <w:t xml:space="preserve">RQL </w:t>
      </w:r>
      <w:r>
        <w:t>的</w:t>
      </w:r>
      <w:r>
        <w:t xml:space="preserve"> AOTV </w:t>
      </w:r>
      <w:r>
        <w:t>为</w:t>
      </w:r>
      <w:r>
        <w:t xml:space="preserve"> 2.277</w:t>
      </w:r>
      <w:r>
        <w:t>，低于</w:t>
      </w:r>
      <w:r>
        <w:t xml:space="preserve"> RH </w:t>
      </w:r>
      <w:r>
        <w:t>的</w:t>
      </w:r>
      <w:r>
        <w:t xml:space="preserve"> 2.722 </w:t>
      </w:r>
      <w:r>
        <w:t>和</w:t>
      </w:r>
      <w:r>
        <w:t xml:space="preserve"> QL </w:t>
      </w:r>
      <w:r>
        <w:t>的</w:t>
      </w:r>
      <w:r>
        <w:t xml:space="preserve"> 5.143</w:t>
      </w:r>
      <w:r>
        <w:t>。</w:t>
      </w:r>
      <w:r>
        <w:t xml:space="preserve">J30 </w:t>
      </w:r>
      <w:r>
        <w:t>上，</w:t>
      </w:r>
      <w:r>
        <w:t xml:space="preserve">RQL </w:t>
      </w:r>
      <w:r>
        <w:t>的</w:t>
      </w:r>
      <w:r>
        <w:t xml:space="preserve"> AOTV </w:t>
      </w:r>
      <w:r>
        <w:t>为</w:t>
      </w:r>
      <w:r>
        <w:t xml:space="preserve"> 2.473</w:t>
      </w:r>
      <w:r>
        <w:t>，低于</w:t>
      </w:r>
      <w:r>
        <w:t xml:space="preserve"> RH </w:t>
      </w:r>
      <w:r>
        <w:t>的</w:t>
      </w:r>
      <w:r>
        <w:t xml:space="preserve"> 2</w:t>
      </w:r>
      <w:r>
        <w:t>.677</w:t>
      </w:r>
      <w:r>
        <w:t>，并显著低于</w:t>
      </w:r>
      <w:r>
        <w:t xml:space="preserve"> QL </w:t>
      </w:r>
      <w:r>
        <w:t>的</w:t>
      </w:r>
      <w:r>
        <w:t xml:space="preserve"> 13.229</w:t>
      </w:r>
      <w:r>
        <w:t>。</w:t>
      </w:r>
      <w:r>
        <w:t xml:space="preserve">J60 </w:t>
      </w:r>
      <w:r>
        <w:t>上，</w:t>
      </w:r>
      <w:r>
        <w:t xml:space="preserve">RQL </w:t>
      </w:r>
      <w:r>
        <w:t>的</w:t>
      </w:r>
      <w:r>
        <w:t xml:space="preserve"> AOTV </w:t>
      </w:r>
      <w:r>
        <w:t>为</w:t>
      </w:r>
      <w:r>
        <w:t xml:space="preserve"> 9.260</w:t>
      </w:r>
      <w:r>
        <w:t>，低于</w:t>
      </w:r>
      <w:r>
        <w:t xml:space="preserve"> RH </w:t>
      </w:r>
      <w:r>
        <w:t>的</w:t>
      </w:r>
      <w:r>
        <w:t xml:space="preserve"> 10.355 </w:t>
      </w:r>
      <w:r>
        <w:t>和</w:t>
      </w:r>
      <w:r>
        <w:t xml:space="preserve"> QL </w:t>
      </w:r>
      <w:r>
        <w:t>的</w:t>
      </w:r>
      <w:r>
        <w:t xml:space="preserve"> 55.748</w:t>
      </w:r>
      <w:r>
        <w:t>。</w:t>
      </w:r>
    </w:p>
    <w:p w14:paraId="04214A5A" w14:textId="77777777" w:rsidR="004E7069" w:rsidRDefault="006943E1">
      <w:pPr>
        <w:spacing w:before="80" w:after="80"/>
        <w:ind w:firstLine="420"/>
      </w:pPr>
      <w:r>
        <w:t>相对于</w:t>
      </w:r>
      <w:r>
        <w:t xml:space="preserve"> RH</w:t>
      </w:r>
      <w:r>
        <w:t>，</w:t>
      </w:r>
      <w:r>
        <w:t xml:space="preserve">RQL </w:t>
      </w:r>
      <w:r>
        <w:t>在</w:t>
      </w:r>
      <w:r>
        <w:t xml:space="preserve"> J10</w:t>
      </w:r>
      <w:r>
        <w:t>、</w:t>
      </w:r>
      <w:r>
        <w:t>J20</w:t>
      </w:r>
      <w:r>
        <w:t>、</w:t>
      </w:r>
      <w:r>
        <w:t xml:space="preserve">J30 </w:t>
      </w:r>
      <w:r>
        <w:t>和</w:t>
      </w:r>
      <w:r>
        <w:t xml:space="preserve"> J60 </w:t>
      </w:r>
      <w:r>
        <w:t>上分别降低</w:t>
      </w:r>
      <w:r>
        <w:t xml:space="preserve"> AOTV 10.7%</w:t>
      </w:r>
      <w:r>
        <w:t>、</w:t>
      </w:r>
      <w:r>
        <w:t>16.3%</w:t>
      </w:r>
      <w:r>
        <w:t>、</w:t>
      </w:r>
      <w:r>
        <w:t xml:space="preserve">7.6% </w:t>
      </w:r>
      <w:r>
        <w:t>和</w:t>
      </w:r>
      <w:r>
        <w:t xml:space="preserve"> 10.6%</w:t>
      </w:r>
      <w:r>
        <w:t>。这说明，在纯</w:t>
      </w:r>
      <w:r>
        <w:t xml:space="preserve"> rollout </w:t>
      </w:r>
      <w:r>
        <w:t>启发式的基础上引入</w:t>
      </w:r>
      <w:r>
        <w:t xml:space="preserve"> Q-learning </w:t>
      </w:r>
      <w:r>
        <w:t>动作偏好能够进一步提升解质量。</w:t>
      </w:r>
    </w:p>
    <w:p w14:paraId="0C2E0B6E" w14:textId="77777777" w:rsidR="004E7069" w:rsidRDefault="006943E1">
      <w:pPr>
        <w:spacing w:before="80" w:after="80"/>
        <w:ind w:firstLine="420"/>
      </w:pPr>
      <w:r>
        <w:t>与</w:t>
      </w:r>
      <w:r>
        <w:t xml:space="preserve"> QL </w:t>
      </w:r>
      <w:r>
        <w:t>的对比更加说明</w:t>
      </w:r>
      <w:r>
        <w:t xml:space="preserve"> rollout cost-to-go </w:t>
      </w:r>
      <w:r>
        <w:t>的必要性。</w:t>
      </w:r>
      <w:r>
        <w:t xml:space="preserve">QL </w:t>
      </w:r>
      <w:r>
        <w:t>在</w:t>
      </w:r>
      <w:r>
        <w:t xml:space="preserve"> J10 </w:t>
      </w:r>
      <w:r>
        <w:t>上表现尚可，但在</w:t>
      </w:r>
      <w:r>
        <w:t xml:space="preserve"> J30 </w:t>
      </w:r>
      <w:r>
        <w:t>和</w:t>
      </w:r>
      <w:r>
        <w:t xml:space="preserve"> J60 </w:t>
      </w:r>
      <w:r>
        <w:t>上出现明显退化。原因在于，随着规模增大，状态动作空间扩大，终端惩罚奖励更稀疏，普通</w:t>
      </w:r>
      <w:r>
        <w:t xml:space="preserve"> Q </w:t>
      </w:r>
      <w:r>
        <w:t>表难以稳定区分动作价值。</w:t>
      </w:r>
      <w:r>
        <w:t xml:space="preserve">RQL </w:t>
      </w:r>
      <w:r>
        <w:t>通过前瞻评价弥补了这一不足。</w:t>
      </w:r>
    </w:p>
    <w:p w14:paraId="5D793F4B" w14:textId="77777777" w:rsidR="004E7069" w:rsidRDefault="006943E1">
      <w:pPr>
        <w:spacing w:before="80" w:after="80"/>
        <w:ind w:firstLine="420"/>
      </w:pPr>
      <w:r>
        <w:t>表</w:t>
      </w:r>
      <w:r>
        <w:t xml:space="preserve"> 1. J10-J60 </w:t>
      </w:r>
      <w:r>
        <w:t>主实验结果。数值越小越好。</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1505"/>
        <w:gridCol w:w="1505"/>
        <w:gridCol w:w="1504"/>
        <w:gridCol w:w="1504"/>
        <w:gridCol w:w="1504"/>
        <w:gridCol w:w="1504"/>
      </w:tblGrid>
      <w:tr w:rsidR="004E7069" w14:paraId="0E48D87F" w14:textId="77777777">
        <w:tc>
          <w:tcPr>
            <w:tcW w:w="1504" w:type="dxa"/>
            <w:shd w:val="clear" w:color="auto" w:fill="DDEBF7"/>
          </w:tcPr>
          <w:p w14:paraId="0F7E1344" w14:textId="77777777" w:rsidR="004E7069" w:rsidRDefault="006943E1">
            <w:pPr>
              <w:pStyle w:val="TableText"/>
            </w:pPr>
            <w:r>
              <w:t>规模</w:t>
            </w:r>
          </w:p>
        </w:tc>
        <w:tc>
          <w:tcPr>
            <w:tcW w:w="1504" w:type="dxa"/>
            <w:shd w:val="clear" w:color="auto" w:fill="DDEBF7"/>
          </w:tcPr>
          <w:p w14:paraId="72B5C435" w14:textId="77777777" w:rsidR="004E7069" w:rsidRDefault="006943E1">
            <w:pPr>
              <w:pStyle w:val="TableText"/>
            </w:pPr>
            <w:r>
              <w:t>方法</w:t>
            </w:r>
          </w:p>
        </w:tc>
        <w:tc>
          <w:tcPr>
            <w:tcW w:w="1504" w:type="dxa"/>
            <w:shd w:val="clear" w:color="auto" w:fill="DDEBF7"/>
          </w:tcPr>
          <w:p w14:paraId="42352169" w14:textId="77777777" w:rsidR="004E7069" w:rsidRDefault="006943E1">
            <w:pPr>
              <w:pStyle w:val="TableText"/>
            </w:pPr>
            <w:r>
              <w:t>AOTV</w:t>
            </w:r>
          </w:p>
        </w:tc>
        <w:tc>
          <w:tcPr>
            <w:tcW w:w="1504" w:type="dxa"/>
            <w:shd w:val="clear" w:color="auto" w:fill="DDEBF7"/>
          </w:tcPr>
          <w:p w14:paraId="0B4F923D" w14:textId="77777777" w:rsidR="004E7069" w:rsidRDefault="006943E1">
            <w:pPr>
              <w:pStyle w:val="TableText"/>
            </w:pPr>
            <w:r>
              <w:t>Std</w:t>
            </w:r>
          </w:p>
        </w:tc>
        <w:tc>
          <w:tcPr>
            <w:tcW w:w="1504" w:type="dxa"/>
            <w:shd w:val="clear" w:color="auto" w:fill="DDEBF7"/>
          </w:tcPr>
          <w:p w14:paraId="06A9E084" w14:textId="77777777" w:rsidR="004E7069" w:rsidRDefault="006943E1">
            <w:pPr>
              <w:pStyle w:val="TableText"/>
            </w:pPr>
            <w:r>
              <w:t>ARPD (%)</w:t>
            </w:r>
          </w:p>
        </w:tc>
        <w:tc>
          <w:tcPr>
            <w:tcW w:w="1504" w:type="dxa"/>
            <w:shd w:val="clear" w:color="auto" w:fill="DDEBF7"/>
          </w:tcPr>
          <w:p w14:paraId="3E16DDD4" w14:textId="77777777" w:rsidR="004E7069" w:rsidRDefault="006943E1">
            <w:pPr>
              <w:pStyle w:val="TableText"/>
            </w:pPr>
            <w:r>
              <w:t>Time (s)</w:t>
            </w:r>
          </w:p>
        </w:tc>
      </w:tr>
      <w:tr w:rsidR="004E7069" w14:paraId="6A6A4E22" w14:textId="77777777">
        <w:tc>
          <w:tcPr>
            <w:tcW w:w="1504" w:type="dxa"/>
          </w:tcPr>
          <w:p w14:paraId="1BA648BF" w14:textId="77777777" w:rsidR="004E7069" w:rsidRDefault="006943E1">
            <w:pPr>
              <w:pStyle w:val="TableText"/>
            </w:pPr>
            <w:r>
              <w:t>J10</w:t>
            </w:r>
          </w:p>
        </w:tc>
        <w:tc>
          <w:tcPr>
            <w:tcW w:w="1504" w:type="dxa"/>
          </w:tcPr>
          <w:p w14:paraId="55417B3C" w14:textId="77777777" w:rsidR="004E7069" w:rsidRDefault="006943E1">
            <w:pPr>
              <w:pStyle w:val="TableText"/>
            </w:pPr>
            <w:r>
              <w:t>RQL</w:t>
            </w:r>
          </w:p>
        </w:tc>
        <w:tc>
          <w:tcPr>
            <w:tcW w:w="1504" w:type="dxa"/>
          </w:tcPr>
          <w:p w14:paraId="4C21A14F" w14:textId="77777777" w:rsidR="004E7069" w:rsidRDefault="006943E1">
            <w:pPr>
              <w:pStyle w:val="TableText"/>
            </w:pPr>
            <w:r>
              <w:t>1.301</w:t>
            </w:r>
          </w:p>
        </w:tc>
        <w:tc>
          <w:tcPr>
            <w:tcW w:w="1504" w:type="dxa"/>
          </w:tcPr>
          <w:p w14:paraId="41363ED9" w14:textId="77777777" w:rsidR="004E7069" w:rsidRDefault="006943E1">
            <w:pPr>
              <w:pStyle w:val="TableText"/>
            </w:pPr>
            <w:r>
              <w:t>1.272</w:t>
            </w:r>
          </w:p>
        </w:tc>
        <w:tc>
          <w:tcPr>
            <w:tcW w:w="1504" w:type="dxa"/>
          </w:tcPr>
          <w:p w14:paraId="5915DAEE" w14:textId="77777777" w:rsidR="004E7069" w:rsidRDefault="006943E1">
            <w:pPr>
              <w:pStyle w:val="TableText"/>
            </w:pPr>
            <w:r>
              <w:t>8.146</w:t>
            </w:r>
          </w:p>
        </w:tc>
        <w:tc>
          <w:tcPr>
            <w:tcW w:w="1504" w:type="dxa"/>
          </w:tcPr>
          <w:p w14:paraId="367CBCF8" w14:textId="77777777" w:rsidR="004E7069" w:rsidRDefault="006943E1">
            <w:pPr>
              <w:pStyle w:val="TableText"/>
            </w:pPr>
            <w:r>
              <w:t>6.579</w:t>
            </w:r>
          </w:p>
        </w:tc>
      </w:tr>
      <w:tr w:rsidR="004E7069" w14:paraId="185B46DC" w14:textId="77777777">
        <w:tc>
          <w:tcPr>
            <w:tcW w:w="1504" w:type="dxa"/>
          </w:tcPr>
          <w:p w14:paraId="0B44589A" w14:textId="77777777" w:rsidR="004E7069" w:rsidRDefault="006943E1">
            <w:pPr>
              <w:pStyle w:val="TableText"/>
            </w:pPr>
            <w:r>
              <w:t>J10</w:t>
            </w:r>
          </w:p>
        </w:tc>
        <w:tc>
          <w:tcPr>
            <w:tcW w:w="1504" w:type="dxa"/>
          </w:tcPr>
          <w:p w14:paraId="5807D526" w14:textId="77777777" w:rsidR="004E7069" w:rsidRDefault="006943E1">
            <w:pPr>
              <w:pStyle w:val="TableText"/>
            </w:pPr>
            <w:r>
              <w:t>RH</w:t>
            </w:r>
          </w:p>
        </w:tc>
        <w:tc>
          <w:tcPr>
            <w:tcW w:w="1504" w:type="dxa"/>
          </w:tcPr>
          <w:p w14:paraId="3F88FE67" w14:textId="77777777" w:rsidR="004E7069" w:rsidRDefault="006943E1">
            <w:pPr>
              <w:pStyle w:val="TableText"/>
            </w:pPr>
            <w:r>
              <w:t>1.457</w:t>
            </w:r>
          </w:p>
        </w:tc>
        <w:tc>
          <w:tcPr>
            <w:tcW w:w="1504" w:type="dxa"/>
          </w:tcPr>
          <w:p w14:paraId="059488F8" w14:textId="77777777" w:rsidR="004E7069" w:rsidRDefault="006943E1">
            <w:pPr>
              <w:pStyle w:val="TableText"/>
            </w:pPr>
            <w:r>
              <w:t>1.361</w:t>
            </w:r>
          </w:p>
        </w:tc>
        <w:tc>
          <w:tcPr>
            <w:tcW w:w="1504" w:type="dxa"/>
          </w:tcPr>
          <w:p w14:paraId="2E573383" w14:textId="77777777" w:rsidR="004E7069" w:rsidRDefault="006943E1">
            <w:pPr>
              <w:pStyle w:val="TableText"/>
            </w:pPr>
            <w:r>
              <w:t>23.086</w:t>
            </w:r>
          </w:p>
        </w:tc>
        <w:tc>
          <w:tcPr>
            <w:tcW w:w="1504" w:type="dxa"/>
          </w:tcPr>
          <w:p w14:paraId="626002E0" w14:textId="77777777" w:rsidR="004E7069" w:rsidRDefault="006943E1">
            <w:pPr>
              <w:pStyle w:val="TableText"/>
            </w:pPr>
            <w:r>
              <w:t>0.083</w:t>
            </w:r>
          </w:p>
        </w:tc>
      </w:tr>
      <w:tr w:rsidR="004E7069" w14:paraId="1C4C85E0" w14:textId="77777777">
        <w:tc>
          <w:tcPr>
            <w:tcW w:w="1504" w:type="dxa"/>
          </w:tcPr>
          <w:p w14:paraId="00BA2697" w14:textId="77777777" w:rsidR="004E7069" w:rsidRDefault="006943E1">
            <w:pPr>
              <w:pStyle w:val="TableText"/>
            </w:pPr>
            <w:r>
              <w:t>J10</w:t>
            </w:r>
          </w:p>
        </w:tc>
        <w:tc>
          <w:tcPr>
            <w:tcW w:w="1504" w:type="dxa"/>
          </w:tcPr>
          <w:p w14:paraId="006718F8" w14:textId="77777777" w:rsidR="004E7069" w:rsidRDefault="006943E1">
            <w:pPr>
              <w:pStyle w:val="TableText"/>
            </w:pPr>
            <w:r>
              <w:t>MXS+MF</w:t>
            </w:r>
          </w:p>
        </w:tc>
        <w:tc>
          <w:tcPr>
            <w:tcW w:w="1504" w:type="dxa"/>
          </w:tcPr>
          <w:p w14:paraId="0E3598B9" w14:textId="77777777" w:rsidR="004E7069" w:rsidRDefault="006943E1">
            <w:pPr>
              <w:pStyle w:val="TableText"/>
            </w:pPr>
            <w:r>
              <w:t>2.284</w:t>
            </w:r>
          </w:p>
        </w:tc>
        <w:tc>
          <w:tcPr>
            <w:tcW w:w="1504" w:type="dxa"/>
          </w:tcPr>
          <w:p w14:paraId="393099C8" w14:textId="77777777" w:rsidR="004E7069" w:rsidRDefault="006943E1">
            <w:pPr>
              <w:pStyle w:val="TableText"/>
            </w:pPr>
            <w:r>
              <w:t>1.973</w:t>
            </w:r>
          </w:p>
        </w:tc>
        <w:tc>
          <w:tcPr>
            <w:tcW w:w="1504" w:type="dxa"/>
          </w:tcPr>
          <w:p w14:paraId="18884DF3" w14:textId="77777777" w:rsidR="004E7069" w:rsidRDefault="006943E1">
            <w:pPr>
              <w:pStyle w:val="TableText"/>
            </w:pPr>
            <w:r>
              <w:t>87.599</w:t>
            </w:r>
          </w:p>
        </w:tc>
        <w:tc>
          <w:tcPr>
            <w:tcW w:w="1504" w:type="dxa"/>
          </w:tcPr>
          <w:p w14:paraId="402310E9" w14:textId="77777777" w:rsidR="004E7069" w:rsidRDefault="006943E1">
            <w:pPr>
              <w:pStyle w:val="TableText"/>
            </w:pPr>
            <w:r>
              <w:t>0.001</w:t>
            </w:r>
          </w:p>
        </w:tc>
      </w:tr>
      <w:tr w:rsidR="004E7069" w14:paraId="3B1CC772" w14:textId="77777777">
        <w:tc>
          <w:tcPr>
            <w:tcW w:w="1504" w:type="dxa"/>
          </w:tcPr>
          <w:p w14:paraId="3EB8A3F0" w14:textId="77777777" w:rsidR="004E7069" w:rsidRDefault="006943E1">
            <w:pPr>
              <w:pStyle w:val="TableText"/>
            </w:pPr>
            <w:r>
              <w:t>J10</w:t>
            </w:r>
          </w:p>
        </w:tc>
        <w:tc>
          <w:tcPr>
            <w:tcW w:w="1504" w:type="dxa"/>
          </w:tcPr>
          <w:p w14:paraId="4C76058E" w14:textId="77777777" w:rsidR="004E7069" w:rsidRDefault="006943E1">
            <w:pPr>
              <w:pStyle w:val="TableText"/>
            </w:pPr>
            <w:r>
              <w:t>MPV-SLK-EFT</w:t>
            </w:r>
          </w:p>
        </w:tc>
        <w:tc>
          <w:tcPr>
            <w:tcW w:w="1504" w:type="dxa"/>
          </w:tcPr>
          <w:p w14:paraId="66BFEA7B" w14:textId="77777777" w:rsidR="004E7069" w:rsidRDefault="006943E1">
            <w:pPr>
              <w:pStyle w:val="TableText"/>
            </w:pPr>
            <w:r>
              <w:t>2.202</w:t>
            </w:r>
          </w:p>
        </w:tc>
        <w:tc>
          <w:tcPr>
            <w:tcW w:w="1504" w:type="dxa"/>
          </w:tcPr>
          <w:p w14:paraId="6B935EFA" w14:textId="77777777" w:rsidR="004E7069" w:rsidRDefault="006943E1">
            <w:pPr>
              <w:pStyle w:val="TableText"/>
            </w:pPr>
            <w:r>
              <w:t>2.072</w:t>
            </w:r>
          </w:p>
        </w:tc>
        <w:tc>
          <w:tcPr>
            <w:tcW w:w="1504" w:type="dxa"/>
          </w:tcPr>
          <w:p w14:paraId="0FAF850D" w14:textId="77777777" w:rsidR="004E7069" w:rsidRDefault="006943E1">
            <w:pPr>
              <w:pStyle w:val="TableText"/>
            </w:pPr>
            <w:r>
              <w:t>76.001</w:t>
            </w:r>
          </w:p>
        </w:tc>
        <w:tc>
          <w:tcPr>
            <w:tcW w:w="1504" w:type="dxa"/>
          </w:tcPr>
          <w:p w14:paraId="5B8FEA4F" w14:textId="77777777" w:rsidR="004E7069" w:rsidRDefault="006943E1">
            <w:pPr>
              <w:pStyle w:val="TableText"/>
            </w:pPr>
            <w:r>
              <w:t>0.001</w:t>
            </w:r>
          </w:p>
        </w:tc>
      </w:tr>
      <w:tr w:rsidR="004E7069" w14:paraId="3B78DE46" w14:textId="77777777">
        <w:tc>
          <w:tcPr>
            <w:tcW w:w="1504" w:type="dxa"/>
          </w:tcPr>
          <w:p w14:paraId="5A1C25B9" w14:textId="77777777" w:rsidR="004E7069" w:rsidRDefault="006943E1">
            <w:pPr>
              <w:pStyle w:val="TableText"/>
            </w:pPr>
            <w:r>
              <w:t>J10</w:t>
            </w:r>
          </w:p>
        </w:tc>
        <w:tc>
          <w:tcPr>
            <w:tcW w:w="1504" w:type="dxa"/>
          </w:tcPr>
          <w:p w14:paraId="04E004B9" w14:textId="77777777" w:rsidR="004E7069" w:rsidRDefault="006943E1">
            <w:pPr>
              <w:pStyle w:val="TableText"/>
            </w:pPr>
            <w:r>
              <w:t>QL</w:t>
            </w:r>
          </w:p>
        </w:tc>
        <w:tc>
          <w:tcPr>
            <w:tcW w:w="1504" w:type="dxa"/>
          </w:tcPr>
          <w:p w14:paraId="2121F0DF" w14:textId="77777777" w:rsidR="004E7069" w:rsidRDefault="006943E1">
            <w:pPr>
              <w:pStyle w:val="TableText"/>
            </w:pPr>
            <w:r>
              <w:t>1.992</w:t>
            </w:r>
          </w:p>
        </w:tc>
        <w:tc>
          <w:tcPr>
            <w:tcW w:w="1504" w:type="dxa"/>
          </w:tcPr>
          <w:p w14:paraId="2E224F50" w14:textId="77777777" w:rsidR="004E7069" w:rsidRDefault="006943E1">
            <w:pPr>
              <w:pStyle w:val="TableText"/>
            </w:pPr>
            <w:r>
              <w:t>1.733</w:t>
            </w:r>
          </w:p>
        </w:tc>
        <w:tc>
          <w:tcPr>
            <w:tcW w:w="1504" w:type="dxa"/>
          </w:tcPr>
          <w:p w14:paraId="754981A8" w14:textId="77777777" w:rsidR="004E7069" w:rsidRDefault="006943E1">
            <w:pPr>
              <w:pStyle w:val="TableText"/>
            </w:pPr>
            <w:r>
              <w:t>56.634</w:t>
            </w:r>
          </w:p>
        </w:tc>
        <w:tc>
          <w:tcPr>
            <w:tcW w:w="1504" w:type="dxa"/>
          </w:tcPr>
          <w:p w14:paraId="200002D1" w14:textId="77777777" w:rsidR="004E7069" w:rsidRDefault="006943E1">
            <w:pPr>
              <w:pStyle w:val="TableText"/>
            </w:pPr>
            <w:r>
              <w:t>7.534</w:t>
            </w:r>
          </w:p>
        </w:tc>
      </w:tr>
      <w:tr w:rsidR="004E7069" w14:paraId="7DA2F62C" w14:textId="77777777">
        <w:tc>
          <w:tcPr>
            <w:tcW w:w="1504" w:type="dxa"/>
          </w:tcPr>
          <w:p w14:paraId="26F3EECF" w14:textId="77777777" w:rsidR="004E7069" w:rsidRDefault="006943E1">
            <w:pPr>
              <w:pStyle w:val="TableText"/>
            </w:pPr>
            <w:r>
              <w:t>J20</w:t>
            </w:r>
          </w:p>
        </w:tc>
        <w:tc>
          <w:tcPr>
            <w:tcW w:w="1504" w:type="dxa"/>
          </w:tcPr>
          <w:p w14:paraId="771D4AB2" w14:textId="77777777" w:rsidR="004E7069" w:rsidRDefault="006943E1">
            <w:pPr>
              <w:pStyle w:val="TableText"/>
            </w:pPr>
            <w:r>
              <w:t>RQL</w:t>
            </w:r>
          </w:p>
        </w:tc>
        <w:tc>
          <w:tcPr>
            <w:tcW w:w="1504" w:type="dxa"/>
          </w:tcPr>
          <w:p w14:paraId="39C78427" w14:textId="77777777" w:rsidR="004E7069" w:rsidRDefault="006943E1">
            <w:pPr>
              <w:pStyle w:val="TableText"/>
            </w:pPr>
            <w:r>
              <w:t>2.277</w:t>
            </w:r>
          </w:p>
        </w:tc>
        <w:tc>
          <w:tcPr>
            <w:tcW w:w="1504" w:type="dxa"/>
          </w:tcPr>
          <w:p w14:paraId="36259ED1" w14:textId="77777777" w:rsidR="004E7069" w:rsidRDefault="006943E1">
            <w:pPr>
              <w:pStyle w:val="TableText"/>
            </w:pPr>
            <w:r>
              <w:t>1.822</w:t>
            </w:r>
          </w:p>
        </w:tc>
        <w:tc>
          <w:tcPr>
            <w:tcW w:w="1504" w:type="dxa"/>
          </w:tcPr>
          <w:p w14:paraId="5C4A78D0" w14:textId="77777777" w:rsidR="004E7069" w:rsidRDefault="006943E1">
            <w:pPr>
              <w:pStyle w:val="TableText"/>
            </w:pPr>
            <w:r>
              <w:t>25.423</w:t>
            </w:r>
          </w:p>
        </w:tc>
        <w:tc>
          <w:tcPr>
            <w:tcW w:w="1504" w:type="dxa"/>
          </w:tcPr>
          <w:p w14:paraId="3009A8F1" w14:textId="77777777" w:rsidR="004E7069" w:rsidRDefault="006943E1">
            <w:pPr>
              <w:pStyle w:val="TableText"/>
            </w:pPr>
            <w:r>
              <w:t>41.175</w:t>
            </w:r>
          </w:p>
        </w:tc>
      </w:tr>
      <w:tr w:rsidR="004E7069" w14:paraId="699E0158" w14:textId="77777777">
        <w:tc>
          <w:tcPr>
            <w:tcW w:w="1504" w:type="dxa"/>
          </w:tcPr>
          <w:p w14:paraId="6FCAE0E8" w14:textId="77777777" w:rsidR="004E7069" w:rsidRDefault="006943E1">
            <w:pPr>
              <w:pStyle w:val="TableText"/>
            </w:pPr>
            <w:r>
              <w:t>J20</w:t>
            </w:r>
          </w:p>
        </w:tc>
        <w:tc>
          <w:tcPr>
            <w:tcW w:w="1504" w:type="dxa"/>
          </w:tcPr>
          <w:p w14:paraId="552305E9" w14:textId="77777777" w:rsidR="004E7069" w:rsidRDefault="006943E1">
            <w:pPr>
              <w:pStyle w:val="TableText"/>
            </w:pPr>
            <w:r>
              <w:t>RH</w:t>
            </w:r>
          </w:p>
        </w:tc>
        <w:tc>
          <w:tcPr>
            <w:tcW w:w="1504" w:type="dxa"/>
          </w:tcPr>
          <w:p w14:paraId="3BA6AF8F" w14:textId="77777777" w:rsidR="004E7069" w:rsidRDefault="006943E1">
            <w:pPr>
              <w:pStyle w:val="TableText"/>
            </w:pPr>
            <w:r>
              <w:t>2.722</w:t>
            </w:r>
          </w:p>
        </w:tc>
        <w:tc>
          <w:tcPr>
            <w:tcW w:w="1504" w:type="dxa"/>
          </w:tcPr>
          <w:p w14:paraId="04A9DAB8" w14:textId="77777777" w:rsidR="004E7069" w:rsidRDefault="006943E1">
            <w:pPr>
              <w:pStyle w:val="TableText"/>
            </w:pPr>
            <w:r>
              <w:t>2.266</w:t>
            </w:r>
          </w:p>
        </w:tc>
        <w:tc>
          <w:tcPr>
            <w:tcW w:w="1504" w:type="dxa"/>
          </w:tcPr>
          <w:p w14:paraId="03386930" w14:textId="77777777" w:rsidR="004E7069" w:rsidRDefault="006943E1">
            <w:pPr>
              <w:pStyle w:val="TableText"/>
            </w:pPr>
            <w:r>
              <w:t>51.443</w:t>
            </w:r>
          </w:p>
        </w:tc>
        <w:tc>
          <w:tcPr>
            <w:tcW w:w="1504" w:type="dxa"/>
          </w:tcPr>
          <w:p w14:paraId="26280D96" w14:textId="77777777" w:rsidR="004E7069" w:rsidRDefault="006943E1">
            <w:pPr>
              <w:pStyle w:val="TableText"/>
            </w:pPr>
            <w:r>
              <w:t>0.397</w:t>
            </w:r>
          </w:p>
        </w:tc>
      </w:tr>
      <w:tr w:rsidR="004E7069" w14:paraId="419ADC1A" w14:textId="77777777">
        <w:tc>
          <w:tcPr>
            <w:tcW w:w="1504" w:type="dxa"/>
          </w:tcPr>
          <w:p w14:paraId="6DA6733E" w14:textId="77777777" w:rsidR="004E7069" w:rsidRDefault="006943E1">
            <w:pPr>
              <w:pStyle w:val="TableText"/>
            </w:pPr>
            <w:r>
              <w:t>J20</w:t>
            </w:r>
          </w:p>
        </w:tc>
        <w:tc>
          <w:tcPr>
            <w:tcW w:w="1504" w:type="dxa"/>
          </w:tcPr>
          <w:p w14:paraId="25A00F68" w14:textId="77777777" w:rsidR="004E7069" w:rsidRDefault="006943E1">
            <w:pPr>
              <w:pStyle w:val="TableText"/>
            </w:pPr>
            <w:r>
              <w:t>MXS+MF</w:t>
            </w:r>
          </w:p>
        </w:tc>
        <w:tc>
          <w:tcPr>
            <w:tcW w:w="1504" w:type="dxa"/>
          </w:tcPr>
          <w:p w14:paraId="087BC241" w14:textId="77777777" w:rsidR="004E7069" w:rsidRDefault="006943E1">
            <w:pPr>
              <w:pStyle w:val="TableText"/>
            </w:pPr>
            <w:r>
              <w:t>3.332</w:t>
            </w:r>
          </w:p>
        </w:tc>
        <w:tc>
          <w:tcPr>
            <w:tcW w:w="1504" w:type="dxa"/>
          </w:tcPr>
          <w:p w14:paraId="0ED7F74E" w14:textId="77777777" w:rsidR="004E7069" w:rsidRDefault="006943E1">
            <w:pPr>
              <w:pStyle w:val="TableText"/>
            </w:pPr>
            <w:r>
              <w:t>2.500</w:t>
            </w:r>
          </w:p>
        </w:tc>
        <w:tc>
          <w:tcPr>
            <w:tcW w:w="1504" w:type="dxa"/>
          </w:tcPr>
          <w:p w14:paraId="0E372DF3" w14:textId="77777777" w:rsidR="004E7069" w:rsidRDefault="006943E1">
            <w:pPr>
              <w:pStyle w:val="TableText"/>
            </w:pPr>
            <w:r>
              <w:t>90.247</w:t>
            </w:r>
          </w:p>
        </w:tc>
        <w:tc>
          <w:tcPr>
            <w:tcW w:w="1504" w:type="dxa"/>
          </w:tcPr>
          <w:p w14:paraId="75EA891C" w14:textId="77777777" w:rsidR="004E7069" w:rsidRDefault="006943E1">
            <w:pPr>
              <w:pStyle w:val="TableText"/>
            </w:pPr>
            <w:r>
              <w:t>0.003</w:t>
            </w:r>
          </w:p>
        </w:tc>
      </w:tr>
      <w:tr w:rsidR="004E7069" w14:paraId="6C09A729" w14:textId="77777777">
        <w:tc>
          <w:tcPr>
            <w:tcW w:w="1504" w:type="dxa"/>
          </w:tcPr>
          <w:p w14:paraId="6CFA9EB2" w14:textId="77777777" w:rsidR="004E7069" w:rsidRDefault="006943E1">
            <w:pPr>
              <w:pStyle w:val="TableText"/>
            </w:pPr>
            <w:r>
              <w:t>J20</w:t>
            </w:r>
          </w:p>
        </w:tc>
        <w:tc>
          <w:tcPr>
            <w:tcW w:w="1504" w:type="dxa"/>
          </w:tcPr>
          <w:p w14:paraId="65A6F6EB" w14:textId="77777777" w:rsidR="004E7069" w:rsidRDefault="006943E1">
            <w:pPr>
              <w:pStyle w:val="TableText"/>
            </w:pPr>
            <w:r>
              <w:t>MPV-SLK-EFT</w:t>
            </w:r>
          </w:p>
        </w:tc>
        <w:tc>
          <w:tcPr>
            <w:tcW w:w="1504" w:type="dxa"/>
          </w:tcPr>
          <w:p w14:paraId="515B70B5" w14:textId="77777777" w:rsidR="004E7069" w:rsidRDefault="006943E1">
            <w:pPr>
              <w:pStyle w:val="TableText"/>
            </w:pPr>
            <w:r>
              <w:t>3.833</w:t>
            </w:r>
          </w:p>
        </w:tc>
        <w:tc>
          <w:tcPr>
            <w:tcW w:w="1504" w:type="dxa"/>
          </w:tcPr>
          <w:p w14:paraId="3BFFB9B4" w14:textId="77777777" w:rsidR="004E7069" w:rsidRDefault="006943E1">
            <w:pPr>
              <w:pStyle w:val="TableText"/>
            </w:pPr>
            <w:r>
              <w:t>3.173</w:t>
            </w:r>
          </w:p>
        </w:tc>
        <w:tc>
          <w:tcPr>
            <w:tcW w:w="1504" w:type="dxa"/>
          </w:tcPr>
          <w:p w14:paraId="5C840216" w14:textId="77777777" w:rsidR="004E7069" w:rsidRDefault="006943E1">
            <w:pPr>
              <w:pStyle w:val="TableText"/>
            </w:pPr>
            <w:r>
              <w:t>120.477</w:t>
            </w:r>
          </w:p>
        </w:tc>
        <w:tc>
          <w:tcPr>
            <w:tcW w:w="1504" w:type="dxa"/>
          </w:tcPr>
          <w:p w14:paraId="4F50DBB6" w14:textId="77777777" w:rsidR="004E7069" w:rsidRDefault="006943E1">
            <w:pPr>
              <w:pStyle w:val="TableText"/>
            </w:pPr>
            <w:r>
              <w:t>0.003</w:t>
            </w:r>
          </w:p>
        </w:tc>
      </w:tr>
      <w:tr w:rsidR="004E7069" w14:paraId="7DA7684F" w14:textId="77777777">
        <w:tc>
          <w:tcPr>
            <w:tcW w:w="1504" w:type="dxa"/>
          </w:tcPr>
          <w:p w14:paraId="495ECC20" w14:textId="77777777" w:rsidR="004E7069" w:rsidRDefault="006943E1">
            <w:pPr>
              <w:pStyle w:val="TableText"/>
            </w:pPr>
            <w:r>
              <w:t>J20</w:t>
            </w:r>
          </w:p>
        </w:tc>
        <w:tc>
          <w:tcPr>
            <w:tcW w:w="1504" w:type="dxa"/>
          </w:tcPr>
          <w:p w14:paraId="54C9C7C2" w14:textId="77777777" w:rsidR="004E7069" w:rsidRDefault="006943E1">
            <w:pPr>
              <w:pStyle w:val="TableText"/>
            </w:pPr>
            <w:r>
              <w:t>QL</w:t>
            </w:r>
          </w:p>
        </w:tc>
        <w:tc>
          <w:tcPr>
            <w:tcW w:w="1504" w:type="dxa"/>
          </w:tcPr>
          <w:p w14:paraId="5C01390A" w14:textId="77777777" w:rsidR="004E7069" w:rsidRDefault="006943E1">
            <w:pPr>
              <w:pStyle w:val="TableText"/>
            </w:pPr>
            <w:r>
              <w:t>5.143</w:t>
            </w:r>
          </w:p>
        </w:tc>
        <w:tc>
          <w:tcPr>
            <w:tcW w:w="1504" w:type="dxa"/>
          </w:tcPr>
          <w:p w14:paraId="35F60D20" w14:textId="77777777" w:rsidR="004E7069" w:rsidRDefault="006943E1">
            <w:pPr>
              <w:pStyle w:val="TableText"/>
            </w:pPr>
            <w:r>
              <w:t>4.018</w:t>
            </w:r>
          </w:p>
        </w:tc>
        <w:tc>
          <w:tcPr>
            <w:tcW w:w="1504" w:type="dxa"/>
          </w:tcPr>
          <w:p w14:paraId="3B624BF5" w14:textId="77777777" w:rsidR="004E7069" w:rsidRDefault="006943E1">
            <w:pPr>
              <w:pStyle w:val="TableText"/>
            </w:pPr>
            <w:r>
              <w:t>202.370</w:t>
            </w:r>
          </w:p>
        </w:tc>
        <w:tc>
          <w:tcPr>
            <w:tcW w:w="1504" w:type="dxa"/>
          </w:tcPr>
          <w:p w14:paraId="4508CCD9" w14:textId="77777777" w:rsidR="004E7069" w:rsidRDefault="006943E1">
            <w:pPr>
              <w:pStyle w:val="TableText"/>
            </w:pPr>
            <w:r>
              <w:t>17.195</w:t>
            </w:r>
          </w:p>
        </w:tc>
      </w:tr>
      <w:tr w:rsidR="004E7069" w14:paraId="2BF3D614" w14:textId="77777777">
        <w:tc>
          <w:tcPr>
            <w:tcW w:w="1504" w:type="dxa"/>
          </w:tcPr>
          <w:p w14:paraId="1A59A9D8" w14:textId="77777777" w:rsidR="004E7069" w:rsidRDefault="006943E1">
            <w:pPr>
              <w:pStyle w:val="TableText"/>
            </w:pPr>
            <w:r>
              <w:t>J30</w:t>
            </w:r>
          </w:p>
        </w:tc>
        <w:tc>
          <w:tcPr>
            <w:tcW w:w="1504" w:type="dxa"/>
          </w:tcPr>
          <w:p w14:paraId="7CD582C8" w14:textId="77777777" w:rsidR="004E7069" w:rsidRDefault="006943E1">
            <w:pPr>
              <w:pStyle w:val="TableText"/>
            </w:pPr>
            <w:r>
              <w:t>RQL</w:t>
            </w:r>
          </w:p>
        </w:tc>
        <w:tc>
          <w:tcPr>
            <w:tcW w:w="1504" w:type="dxa"/>
          </w:tcPr>
          <w:p w14:paraId="26071F28" w14:textId="77777777" w:rsidR="004E7069" w:rsidRDefault="006943E1">
            <w:pPr>
              <w:pStyle w:val="TableText"/>
            </w:pPr>
            <w:r>
              <w:t>2.473</w:t>
            </w:r>
          </w:p>
        </w:tc>
        <w:tc>
          <w:tcPr>
            <w:tcW w:w="1504" w:type="dxa"/>
          </w:tcPr>
          <w:p w14:paraId="7A42F59A" w14:textId="77777777" w:rsidR="004E7069" w:rsidRDefault="006943E1">
            <w:pPr>
              <w:pStyle w:val="TableText"/>
            </w:pPr>
            <w:r>
              <w:t>2.265</w:t>
            </w:r>
          </w:p>
        </w:tc>
        <w:tc>
          <w:tcPr>
            <w:tcW w:w="1504" w:type="dxa"/>
          </w:tcPr>
          <w:p w14:paraId="75D51E5C" w14:textId="77777777" w:rsidR="004E7069" w:rsidRDefault="006943E1">
            <w:pPr>
              <w:pStyle w:val="TableText"/>
            </w:pPr>
            <w:r>
              <w:t>25.316</w:t>
            </w:r>
          </w:p>
        </w:tc>
        <w:tc>
          <w:tcPr>
            <w:tcW w:w="1504" w:type="dxa"/>
          </w:tcPr>
          <w:p w14:paraId="0BFAB4B9" w14:textId="77777777" w:rsidR="004E7069" w:rsidRDefault="006943E1">
            <w:pPr>
              <w:pStyle w:val="TableText"/>
            </w:pPr>
            <w:r>
              <w:t>178.812</w:t>
            </w:r>
          </w:p>
        </w:tc>
      </w:tr>
      <w:tr w:rsidR="004E7069" w14:paraId="2D3EEF3A" w14:textId="77777777">
        <w:tc>
          <w:tcPr>
            <w:tcW w:w="1504" w:type="dxa"/>
          </w:tcPr>
          <w:p w14:paraId="446891EF" w14:textId="77777777" w:rsidR="004E7069" w:rsidRDefault="006943E1">
            <w:pPr>
              <w:pStyle w:val="TableText"/>
            </w:pPr>
            <w:r>
              <w:t>J30</w:t>
            </w:r>
          </w:p>
        </w:tc>
        <w:tc>
          <w:tcPr>
            <w:tcW w:w="1504" w:type="dxa"/>
          </w:tcPr>
          <w:p w14:paraId="7AB36167" w14:textId="77777777" w:rsidR="004E7069" w:rsidRDefault="006943E1">
            <w:pPr>
              <w:pStyle w:val="TableText"/>
            </w:pPr>
            <w:r>
              <w:t>RH</w:t>
            </w:r>
          </w:p>
        </w:tc>
        <w:tc>
          <w:tcPr>
            <w:tcW w:w="1504" w:type="dxa"/>
          </w:tcPr>
          <w:p w14:paraId="4EAC959E" w14:textId="77777777" w:rsidR="004E7069" w:rsidRDefault="006943E1">
            <w:pPr>
              <w:pStyle w:val="TableText"/>
            </w:pPr>
            <w:r>
              <w:t>2.677</w:t>
            </w:r>
          </w:p>
        </w:tc>
        <w:tc>
          <w:tcPr>
            <w:tcW w:w="1504" w:type="dxa"/>
          </w:tcPr>
          <w:p w14:paraId="4DF4A923" w14:textId="77777777" w:rsidR="004E7069" w:rsidRDefault="006943E1">
            <w:pPr>
              <w:pStyle w:val="TableText"/>
            </w:pPr>
            <w:r>
              <w:t>2.416</w:t>
            </w:r>
          </w:p>
        </w:tc>
        <w:tc>
          <w:tcPr>
            <w:tcW w:w="1504" w:type="dxa"/>
          </w:tcPr>
          <w:p w14:paraId="3E097C48" w14:textId="77777777" w:rsidR="004E7069" w:rsidRDefault="006943E1">
            <w:pPr>
              <w:pStyle w:val="TableText"/>
            </w:pPr>
            <w:r>
              <w:t>38.520</w:t>
            </w:r>
          </w:p>
        </w:tc>
        <w:tc>
          <w:tcPr>
            <w:tcW w:w="1504" w:type="dxa"/>
          </w:tcPr>
          <w:p w14:paraId="0CF1A476" w14:textId="77777777" w:rsidR="004E7069" w:rsidRDefault="006943E1">
            <w:pPr>
              <w:pStyle w:val="TableText"/>
            </w:pPr>
            <w:r>
              <w:t>1.058</w:t>
            </w:r>
          </w:p>
        </w:tc>
      </w:tr>
      <w:tr w:rsidR="004E7069" w14:paraId="6A9AAF21" w14:textId="77777777">
        <w:tc>
          <w:tcPr>
            <w:tcW w:w="1504" w:type="dxa"/>
          </w:tcPr>
          <w:p w14:paraId="626C4BED" w14:textId="77777777" w:rsidR="004E7069" w:rsidRDefault="006943E1">
            <w:pPr>
              <w:pStyle w:val="TableText"/>
            </w:pPr>
            <w:r>
              <w:t>J30</w:t>
            </w:r>
          </w:p>
        </w:tc>
        <w:tc>
          <w:tcPr>
            <w:tcW w:w="1504" w:type="dxa"/>
          </w:tcPr>
          <w:p w14:paraId="6FA9A45A" w14:textId="77777777" w:rsidR="004E7069" w:rsidRDefault="006943E1">
            <w:pPr>
              <w:pStyle w:val="TableText"/>
            </w:pPr>
            <w:r>
              <w:t>MXS+MF</w:t>
            </w:r>
          </w:p>
        </w:tc>
        <w:tc>
          <w:tcPr>
            <w:tcW w:w="1504" w:type="dxa"/>
          </w:tcPr>
          <w:p w14:paraId="5A13080E" w14:textId="77777777" w:rsidR="004E7069" w:rsidRDefault="006943E1">
            <w:pPr>
              <w:pStyle w:val="TableText"/>
            </w:pPr>
            <w:r>
              <w:t>3.587</w:t>
            </w:r>
          </w:p>
        </w:tc>
        <w:tc>
          <w:tcPr>
            <w:tcW w:w="1504" w:type="dxa"/>
          </w:tcPr>
          <w:p w14:paraId="2728E890" w14:textId="77777777" w:rsidR="004E7069" w:rsidRDefault="006943E1">
            <w:pPr>
              <w:pStyle w:val="TableText"/>
            </w:pPr>
            <w:r>
              <w:t>3.375</w:t>
            </w:r>
          </w:p>
        </w:tc>
        <w:tc>
          <w:tcPr>
            <w:tcW w:w="1504" w:type="dxa"/>
          </w:tcPr>
          <w:p w14:paraId="676EB03B" w14:textId="77777777" w:rsidR="004E7069" w:rsidRDefault="006943E1">
            <w:pPr>
              <w:pStyle w:val="TableText"/>
            </w:pPr>
            <w:r>
              <w:t>77.926</w:t>
            </w:r>
          </w:p>
        </w:tc>
        <w:tc>
          <w:tcPr>
            <w:tcW w:w="1504" w:type="dxa"/>
          </w:tcPr>
          <w:p w14:paraId="1C6BB20F" w14:textId="77777777" w:rsidR="004E7069" w:rsidRDefault="006943E1">
            <w:pPr>
              <w:pStyle w:val="TableText"/>
            </w:pPr>
            <w:r>
              <w:t>0.004</w:t>
            </w:r>
          </w:p>
        </w:tc>
      </w:tr>
      <w:tr w:rsidR="004E7069" w14:paraId="7A703407" w14:textId="77777777">
        <w:tc>
          <w:tcPr>
            <w:tcW w:w="1504" w:type="dxa"/>
          </w:tcPr>
          <w:p w14:paraId="4B3D8258" w14:textId="77777777" w:rsidR="004E7069" w:rsidRDefault="006943E1">
            <w:pPr>
              <w:pStyle w:val="TableText"/>
            </w:pPr>
            <w:r>
              <w:t>J30</w:t>
            </w:r>
          </w:p>
        </w:tc>
        <w:tc>
          <w:tcPr>
            <w:tcW w:w="1504" w:type="dxa"/>
          </w:tcPr>
          <w:p w14:paraId="11BE3F64" w14:textId="77777777" w:rsidR="004E7069" w:rsidRDefault="006943E1">
            <w:pPr>
              <w:pStyle w:val="TableText"/>
            </w:pPr>
            <w:r>
              <w:t>MPV-SLK-EFT</w:t>
            </w:r>
          </w:p>
        </w:tc>
        <w:tc>
          <w:tcPr>
            <w:tcW w:w="1504" w:type="dxa"/>
          </w:tcPr>
          <w:p w14:paraId="4A929580" w14:textId="77777777" w:rsidR="004E7069" w:rsidRDefault="006943E1">
            <w:pPr>
              <w:pStyle w:val="TableText"/>
            </w:pPr>
            <w:r>
              <w:t>3.833</w:t>
            </w:r>
          </w:p>
        </w:tc>
        <w:tc>
          <w:tcPr>
            <w:tcW w:w="1504" w:type="dxa"/>
          </w:tcPr>
          <w:p w14:paraId="747E35D9" w14:textId="77777777" w:rsidR="004E7069" w:rsidRDefault="006943E1">
            <w:pPr>
              <w:pStyle w:val="TableText"/>
            </w:pPr>
            <w:r>
              <w:t>3.522</w:t>
            </w:r>
          </w:p>
        </w:tc>
        <w:tc>
          <w:tcPr>
            <w:tcW w:w="1504" w:type="dxa"/>
          </w:tcPr>
          <w:p w14:paraId="28E4CAAE" w14:textId="77777777" w:rsidR="004E7069" w:rsidRDefault="006943E1">
            <w:pPr>
              <w:pStyle w:val="TableText"/>
            </w:pPr>
            <w:r>
              <w:t>93.907</w:t>
            </w:r>
          </w:p>
        </w:tc>
        <w:tc>
          <w:tcPr>
            <w:tcW w:w="1504" w:type="dxa"/>
          </w:tcPr>
          <w:p w14:paraId="6C4050FF" w14:textId="77777777" w:rsidR="004E7069" w:rsidRDefault="006943E1">
            <w:pPr>
              <w:pStyle w:val="TableText"/>
            </w:pPr>
            <w:r>
              <w:t>0.004</w:t>
            </w:r>
          </w:p>
        </w:tc>
      </w:tr>
      <w:tr w:rsidR="004E7069" w14:paraId="158A0D54" w14:textId="77777777">
        <w:tc>
          <w:tcPr>
            <w:tcW w:w="1504" w:type="dxa"/>
          </w:tcPr>
          <w:p w14:paraId="3D88F83D" w14:textId="77777777" w:rsidR="004E7069" w:rsidRDefault="006943E1">
            <w:pPr>
              <w:pStyle w:val="TableText"/>
            </w:pPr>
            <w:r>
              <w:t>J30</w:t>
            </w:r>
          </w:p>
        </w:tc>
        <w:tc>
          <w:tcPr>
            <w:tcW w:w="1504" w:type="dxa"/>
          </w:tcPr>
          <w:p w14:paraId="4AA81433" w14:textId="77777777" w:rsidR="004E7069" w:rsidRDefault="006943E1">
            <w:pPr>
              <w:pStyle w:val="TableText"/>
            </w:pPr>
            <w:r>
              <w:t>QL</w:t>
            </w:r>
          </w:p>
        </w:tc>
        <w:tc>
          <w:tcPr>
            <w:tcW w:w="1504" w:type="dxa"/>
          </w:tcPr>
          <w:p w14:paraId="2D1BD2C7" w14:textId="77777777" w:rsidR="004E7069" w:rsidRDefault="006943E1">
            <w:pPr>
              <w:pStyle w:val="TableText"/>
            </w:pPr>
            <w:r>
              <w:t>13.229</w:t>
            </w:r>
          </w:p>
        </w:tc>
        <w:tc>
          <w:tcPr>
            <w:tcW w:w="1504" w:type="dxa"/>
          </w:tcPr>
          <w:p w14:paraId="1F71E580" w14:textId="77777777" w:rsidR="004E7069" w:rsidRDefault="006943E1">
            <w:pPr>
              <w:pStyle w:val="TableText"/>
            </w:pPr>
            <w:r>
              <w:t>7.375</w:t>
            </w:r>
          </w:p>
        </w:tc>
        <w:tc>
          <w:tcPr>
            <w:tcW w:w="1504" w:type="dxa"/>
          </w:tcPr>
          <w:p w14:paraId="6F7E24BB" w14:textId="77777777" w:rsidR="004E7069" w:rsidRDefault="006943E1">
            <w:pPr>
              <w:pStyle w:val="TableText"/>
            </w:pPr>
            <w:r>
              <w:t>679.082</w:t>
            </w:r>
          </w:p>
        </w:tc>
        <w:tc>
          <w:tcPr>
            <w:tcW w:w="1504" w:type="dxa"/>
          </w:tcPr>
          <w:p w14:paraId="555413D7" w14:textId="77777777" w:rsidR="004E7069" w:rsidRDefault="006943E1">
            <w:pPr>
              <w:pStyle w:val="TableText"/>
            </w:pPr>
            <w:r>
              <w:t>27.770</w:t>
            </w:r>
          </w:p>
        </w:tc>
      </w:tr>
      <w:tr w:rsidR="004E7069" w14:paraId="345CD9B6" w14:textId="77777777">
        <w:tc>
          <w:tcPr>
            <w:tcW w:w="1504" w:type="dxa"/>
          </w:tcPr>
          <w:p w14:paraId="6C2E0A68" w14:textId="77777777" w:rsidR="004E7069" w:rsidRDefault="006943E1">
            <w:pPr>
              <w:pStyle w:val="TableText"/>
            </w:pPr>
            <w:r>
              <w:t>J60</w:t>
            </w:r>
          </w:p>
        </w:tc>
        <w:tc>
          <w:tcPr>
            <w:tcW w:w="1504" w:type="dxa"/>
          </w:tcPr>
          <w:p w14:paraId="3D522F24" w14:textId="77777777" w:rsidR="004E7069" w:rsidRDefault="006943E1">
            <w:pPr>
              <w:pStyle w:val="TableText"/>
            </w:pPr>
            <w:r>
              <w:t>RQL</w:t>
            </w:r>
          </w:p>
        </w:tc>
        <w:tc>
          <w:tcPr>
            <w:tcW w:w="1504" w:type="dxa"/>
          </w:tcPr>
          <w:p w14:paraId="14E75F8F" w14:textId="77777777" w:rsidR="004E7069" w:rsidRDefault="006943E1">
            <w:pPr>
              <w:pStyle w:val="TableText"/>
            </w:pPr>
            <w:r>
              <w:t>9.260</w:t>
            </w:r>
          </w:p>
        </w:tc>
        <w:tc>
          <w:tcPr>
            <w:tcW w:w="1504" w:type="dxa"/>
          </w:tcPr>
          <w:p w14:paraId="0B499E82" w14:textId="77777777" w:rsidR="004E7069" w:rsidRDefault="006943E1">
            <w:pPr>
              <w:pStyle w:val="TableText"/>
            </w:pPr>
            <w:r>
              <w:t>4.338</w:t>
            </w:r>
          </w:p>
        </w:tc>
        <w:tc>
          <w:tcPr>
            <w:tcW w:w="1504" w:type="dxa"/>
          </w:tcPr>
          <w:p w14:paraId="2252A57D" w14:textId="77777777" w:rsidR="004E7069" w:rsidRDefault="006943E1">
            <w:pPr>
              <w:pStyle w:val="TableText"/>
            </w:pPr>
            <w:r>
              <w:t>22.736</w:t>
            </w:r>
          </w:p>
        </w:tc>
        <w:tc>
          <w:tcPr>
            <w:tcW w:w="1504" w:type="dxa"/>
          </w:tcPr>
          <w:p w14:paraId="57A37218" w14:textId="77777777" w:rsidR="004E7069" w:rsidRDefault="006943E1">
            <w:pPr>
              <w:pStyle w:val="TableText"/>
            </w:pPr>
            <w:r>
              <w:t>724.079</w:t>
            </w:r>
          </w:p>
        </w:tc>
      </w:tr>
      <w:tr w:rsidR="004E7069" w14:paraId="5E637276" w14:textId="77777777">
        <w:tc>
          <w:tcPr>
            <w:tcW w:w="1504" w:type="dxa"/>
          </w:tcPr>
          <w:p w14:paraId="6918F089" w14:textId="77777777" w:rsidR="004E7069" w:rsidRDefault="006943E1">
            <w:pPr>
              <w:pStyle w:val="TableText"/>
            </w:pPr>
            <w:r>
              <w:t>J60</w:t>
            </w:r>
          </w:p>
        </w:tc>
        <w:tc>
          <w:tcPr>
            <w:tcW w:w="1504" w:type="dxa"/>
          </w:tcPr>
          <w:p w14:paraId="7CD0944D" w14:textId="77777777" w:rsidR="004E7069" w:rsidRDefault="006943E1">
            <w:pPr>
              <w:pStyle w:val="TableText"/>
            </w:pPr>
            <w:r>
              <w:t>RH</w:t>
            </w:r>
          </w:p>
        </w:tc>
        <w:tc>
          <w:tcPr>
            <w:tcW w:w="1504" w:type="dxa"/>
          </w:tcPr>
          <w:p w14:paraId="68D65AB0" w14:textId="77777777" w:rsidR="004E7069" w:rsidRDefault="006943E1">
            <w:pPr>
              <w:pStyle w:val="TableText"/>
            </w:pPr>
            <w:r>
              <w:t>10.355</w:t>
            </w:r>
          </w:p>
        </w:tc>
        <w:tc>
          <w:tcPr>
            <w:tcW w:w="1504" w:type="dxa"/>
          </w:tcPr>
          <w:p w14:paraId="0261F093" w14:textId="77777777" w:rsidR="004E7069" w:rsidRDefault="006943E1">
            <w:pPr>
              <w:pStyle w:val="TableText"/>
            </w:pPr>
            <w:r>
              <w:t>4.283</w:t>
            </w:r>
          </w:p>
        </w:tc>
        <w:tc>
          <w:tcPr>
            <w:tcW w:w="1504" w:type="dxa"/>
          </w:tcPr>
          <w:p w14:paraId="0256FAB1" w14:textId="77777777" w:rsidR="004E7069" w:rsidRDefault="006943E1">
            <w:pPr>
              <w:pStyle w:val="TableText"/>
            </w:pPr>
            <w:r>
              <w:t>40.217</w:t>
            </w:r>
          </w:p>
        </w:tc>
        <w:tc>
          <w:tcPr>
            <w:tcW w:w="1504" w:type="dxa"/>
          </w:tcPr>
          <w:p w14:paraId="5DDC1020" w14:textId="77777777" w:rsidR="004E7069" w:rsidRDefault="006943E1">
            <w:pPr>
              <w:pStyle w:val="TableText"/>
            </w:pPr>
            <w:r>
              <w:t>13.839</w:t>
            </w:r>
          </w:p>
        </w:tc>
      </w:tr>
      <w:tr w:rsidR="004E7069" w14:paraId="25A0A569" w14:textId="77777777">
        <w:tc>
          <w:tcPr>
            <w:tcW w:w="1504" w:type="dxa"/>
          </w:tcPr>
          <w:p w14:paraId="282AFF12" w14:textId="77777777" w:rsidR="004E7069" w:rsidRDefault="006943E1">
            <w:pPr>
              <w:pStyle w:val="TableText"/>
            </w:pPr>
            <w:r>
              <w:t>J60</w:t>
            </w:r>
          </w:p>
        </w:tc>
        <w:tc>
          <w:tcPr>
            <w:tcW w:w="1504" w:type="dxa"/>
          </w:tcPr>
          <w:p w14:paraId="14882617" w14:textId="77777777" w:rsidR="004E7069" w:rsidRDefault="006943E1">
            <w:pPr>
              <w:pStyle w:val="TableText"/>
            </w:pPr>
            <w:r>
              <w:t>MXS+MF</w:t>
            </w:r>
          </w:p>
        </w:tc>
        <w:tc>
          <w:tcPr>
            <w:tcW w:w="1504" w:type="dxa"/>
          </w:tcPr>
          <w:p w14:paraId="4629FDF2" w14:textId="77777777" w:rsidR="004E7069" w:rsidRDefault="006943E1">
            <w:pPr>
              <w:pStyle w:val="TableText"/>
            </w:pPr>
            <w:r>
              <w:t>11.785</w:t>
            </w:r>
          </w:p>
        </w:tc>
        <w:tc>
          <w:tcPr>
            <w:tcW w:w="1504" w:type="dxa"/>
          </w:tcPr>
          <w:p w14:paraId="54001297" w14:textId="77777777" w:rsidR="004E7069" w:rsidRDefault="006943E1">
            <w:pPr>
              <w:pStyle w:val="TableText"/>
            </w:pPr>
            <w:r>
              <w:t>4.429</w:t>
            </w:r>
          </w:p>
        </w:tc>
        <w:tc>
          <w:tcPr>
            <w:tcW w:w="1504" w:type="dxa"/>
          </w:tcPr>
          <w:p w14:paraId="21D6175B" w14:textId="77777777" w:rsidR="004E7069" w:rsidRDefault="006943E1">
            <w:pPr>
              <w:pStyle w:val="TableText"/>
            </w:pPr>
            <w:r>
              <w:t>68.332</w:t>
            </w:r>
          </w:p>
        </w:tc>
        <w:tc>
          <w:tcPr>
            <w:tcW w:w="1504" w:type="dxa"/>
          </w:tcPr>
          <w:p w14:paraId="2D4AB223" w14:textId="77777777" w:rsidR="004E7069" w:rsidRDefault="006943E1">
            <w:pPr>
              <w:pStyle w:val="TableText"/>
            </w:pPr>
            <w:r>
              <w:t>0.016</w:t>
            </w:r>
          </w:p>
        </w:tc>
      </w:tr>
      <w:tr w:rsidR="004E7069" w14:paraId="05A4822C" w14:textId="77777777">
        <w:tc>
          <w:tcPr>
            <w:tcW w:w="1504" w:type="dxa"/>
          </w:tcPr>
          <w:p w14:paraId="1EF66591" w14:textId="77777777" w:rsidR="004E7069" w:rsidRDefault="006943E1">
            <w:pPr>
              <w:pStyle w:val="TableText"/>
            </w:pPr>
            <w:r>
              <w:t>J60</w:t>
            </w:r>
          </w:p>
        </w:tc>
        <w:tc>
          <w:tcPr>
            <w:tcW w:w="1504" w:type="dxa"/>
          </w:tcPr>
          <w:p w14:paraId="6DA33CE5" w14:textId="77777777" w:rsidR="004E7069" w:rsidRDefault="006943E1">
            <w:pPr>
              <w:pStyle w:val="TableText"/>
            </w:pPr>
            <w:r>
              <w:t>MPV-SLK-EFT</w:t>
            </w:r>
          </w:p>
        </w:tc>
        <w:tc>
          <w:tcPr>
            <w:tcW w:w="1504" w:type="dxa"/>
          </w:tcPr>
          <w:p w14:paraId="2A641980" w14:textId="77777777" w:rsidR="004E7069" w:rsidRDefault="006943E1">
            <w:pPr>
              <w:pStyle w:val="TableText"/>
            </w:pPr>
            <w:r>
              <w:t>15.025</w:t>
            </w:r>
          </w:p>
        </w:tc>
        <w:tc>
          <w:tcPr>
            <w:tcW w:w="1504" w:type="dxa"/>
          </w:tcPr>
          <w:p w14:paraId="5D330429" w14:textId="77777777" w:rsidR="004E7069" w:rsidRDefault="006943E1">
            <w:pPr>
              <w:pStyle w:val="TableText"/>
            </w:pPr>
            <w:r>
              <w:t>7.068</w:t>
            </w:r>
          </w:p>
        </w:tc>
        <w:tc>
          <w:tcPr>
            <w:tcW w:w="1504" w:type="dxa"/>
          </w:tcPr>
          <w:p w14:paraId="09338FBC" w14:textId="77777777" w:rsidR="004E7069" w:rsidRDefault="006943E1">
            <w:pPr>
              <w:pStyle w:val="TableText"/>
            </w:pPr>
            <w:r>
              <w:t>104.891</w:t>
            </w:r>
          </w:p>
        </w:tc>
        <w:tc>
          <w:tcPr>
            <w:tcW w:w="1504" w:type="dxa"/>
          </w:tcPr>
          <w:p w14:paraId="1A1DD5EC" w14:textId="77777777" w:rsidR="004E7069" w:rsidRDefault="006943E1">
            <w:pPr>
              <w:pStyle w:val="TableText"/>
            </w:pPr>
            <w:r>
              <w:t>0.015</w:t>
            </w:r>
          </w:p>
        </w:tc>
      </w:tr>
      <w:tr w:rsidR="004E7069" w14:paraId="44B7169B" w14:textId="77777777">
        <w:tc>
          <w:tcPr>
            <w:tcW w:w="1504" w:type="dxa"/>
          </w:tcPr>
          <w:p w14:paraId="132297BF" w14:textId="77777777" w:rsidR="004E7069" w:rsidRDefault="006943E1">
            <w:pPr>
              <w:pStyle w:val="TableText"/>
            </w:pPr>
            <w:r>
              <w:t>J60</w:t>
            </w:r>
          </w:p>
        </w:tc>
        <w:tc>
          <w:tcPr>
            <w:tcW w:w="1504" w:type="dxa"/>
          </w:tcPr>
          <w:p w14:paraId="312431FC" w14:textId="77777777" w:rsidR="004E7069" w:rsidRDefault="006943E1">
            <w:pPr>
              <w:pStyle w:val="TableText"/>
            </w:pPr>
            <w:r>
              <w:t>QL</w:t>
            </w:r>
          </w:p>
        </w:tc>
        <w:tc>
          <w:tcPr>
            <w:tcW w:w="1504" w:type="dxa"/>
          </w:tcPr>
          <w:p w14:paraId="549E61D8" w14:textId="77777777" w:rsidR="004E7069" w:rsidRDefault="006943E1">
            <w:pPr>
              <w:pStyle w:val="TableText"/>
            </w:pPr>
            <w:r>
              <w:t>55.748</w:t>
            </w:r>
          </w:p>
        </w:tc>
        <w:tc>
          <w:tcPr>
            <w:tcW w:w="1504" w:type="dxa"/>
          </w:tcPr>
          <w:p w14:paraId="5B1C7861" w14:textId="77777777" w:rsidR="004E7069" w:rsidRDefault="006943E1">
            <w:pPr>
              <w:pStyle w:val="TableText"/>
            </w:pPr>
            <w:r>
              <w:t>13.598</w:t>
            </w:r>
          </w:p>
        </w:tc>
        <w:tc>
          <w:tcPr>
            <w:tcW w:w="1504" w:type="dxa"/>
          </w:tcPr>
          <w:p w14:paraId="6E430411" w14:textId="77777777" w:rsidR="004E7069" w:rsidRDefault="006943E1">
            <w:pPr>
              <w:pStyle w:val="TableText"/>
            </w:pPr>
            <w:r>
              <w:t>728.444</w:t>
            </w:r>
          </w:p>
        </w:tc>
        <w:tc>
          <w:tcPr>
            <w:tcW w:w="1504" w:type="dxa"/>
          </w:tcPr>
          <w:p w14:paraId="1BFFF06C" w14:textId="77777777" w:rsidR="004E7069" w:rsidRDefault="006943E1">
            <w:pPr>
              <w:pStyle w:val="TableText"/>
            </w:pPr>
            <w:r>
              <w:t>58.682</w:t>
            </w:r>
          </w:p>
        </w:tc>
      </w:tr>
    </w:tbl>
    <w:p w14:paraId="3EEB1B11" w14:textId="77777777" w:rsidR="004E7069" w:rsidRDefault="006943E1">
      <w:pPr>
        <w:pStyle w:val="2"/>
        <w:spacing w:before="260" w:after="160"/>
      </w:pPr>
      <w:r>
        <w:t xml:space="preserve">5.2 </w:t>
      </w:r>
      <w:r>
        <w:t>解质量提升伴随显著运行时间成本</w:t>
      </w:r>
    </w:p>
    <w:p w14:paraId="5C7A1E16" w14:textId="77777777" w:rsidR="004E7069" w:rsidRDefault="006943E1">
      <w:pPr>
        <w:spacing w:before="80" w:after="80"/>
        <w:ind w:firstLine="420"/>
      </w:pPr>
      <w:r>
        <w:t xml:space="preserve">RQL </w:t>
      </w:r>
      <w:r>
        <w:t>的主要代价是运行时间较高。</w:t>
      </w:r>
      <w:r>
        <w:t xml:space="preserve">J60 </w:t>
      </w:r>
      <w:r>
        <w:t>上，</w:t>
      </w:r>
      <w:r>
        <w:t xml:space="preserve">RQL </w:t>
      </w:r>
      <w:r>
        <w:t>平均运行时间为</w:t>
      </w:r>
      <w:r>
        <w:t xml:space="preserve"> 724.079 s</w:t>
      </w:r>
      <w:r>
        <w:t>，而</w:t>
      </w:r>
      <w:r>
        <w:t xml:space="preserve"> RH </w:t>
      </w:r>
      <w:r>
        <w:t>为</w:t>
      </w:r>
      <w:r>
        <w:t xml:space="preserve"> 13.839 s</w:t>
      </w:r>
      <w:r>
        <w:t>，确定性启发式方法均低于</w:t>
      </w:r>
      <w:r>
        <w:t xml:space="preserve"> 0.02 </w:t>
      </w:r>
      <w:r>
        <w:t>s</w:t>
      </w:r>
      <w:r>
        <w:t>。这一差异主要来自训练和构解阶段反复调用</w:t>
      </w:r>
      <w:r>
        <w:t xml:space="preserve"> rollout cost-to-go </w:t>
      </w:r>
      <w:r>
        <w:t>前瞻仿真。</w:t>
      </w:r>
    </w:p>
    <w:p w14:paraId="53E113B3" w14:textId="77777777" w:rsidR="004E7069" w:rsidRDefault="006943E1">
      <w:pPr>
        <w:spacing w:before="80" w:after="80"/>
        <w:ind w:firstLine="420"/>
      </w:pPr>
      <w:r>
        <w:t>因此，</w:t>
      </w:r>
      <w:r>
        <w:t xml:space="preserve">RQL </w:t>
      </w:r>
      <w:r>
        <w:t>不应被定位为低耗时快速启发式算法，而应定位为解质量优先的动态调度算法。当调度质量比计算时间更重要，且允许进行离线训练或较长时间求解时，</w:t>
      </w:r>
      <w:r>
        <w:t xml:space="preserve">RQL </w:t>
      </w:r>
      <w:r>
        <w:t>更具有应用价值。若实际场景要求毫秒级或秒级即时响应，则确定性启发式仍然具有优势。</w:t>
      </w:r>
    </w:p>
    <w:p w14:paraId="7CBD8E78" w14:textId="77777777" w:rsidR="004E7069" w:rsidRDefault="006943E1">
      <w:pPr>
        <w:pStyle w:val="2"/>
        <w:spacing w:before="260" w:after="160"/>
      </w:pPr>
      <w:r>
        <w:t xml:space="preserve">5.3 </w:t>
      </w:r>
      <w:r>
        <w:t>收敛性具有规模依赖特征</w:t>
      </w:r>
    </w:p>
    <w:p w14:paraId="0F0F86A3" w14:textId="77777777" w:rsidR="004E7069" w:rsidRDefault="006943E1">
      <w:pPr>
        <w:spacing w:before="80" w:after="80"/>
        <w:ind w:firstLine="420"/>
      </w:pPr>
      <w:r>
        <w:t>收敛性实验记录训练步数与</w:t>
      </w:r>
      <w:r>
        <w:t xml:space="preserve"> episode reward </w:t>
      </w:r>
      <w:r>
        <w:t>的关系。这里</w:t>
      </w:r>
      <w:r>
        <w:t xml:space="preserve"> episode reward </w:t>
      </w:r>
      <w:r>
        <w:t>等于总加权延迟惩罚的相反数，因此</w:t>
      </w:r>
      <w:r>
        <w:t xml:space="preserve"> reward </w:t>
      </w:r>
      <w:r>
        <w:t>越接近</w:t>
      </w:r>
      <w:r>
        <w:t xml:space="preserve"> 0 </w:t>
      </w:r>
      <w:r>
        <w:t>表示方案越好。结果显示，</w:t>
      </w:r>
      <w:r>
        <w:t xml:space="preserve">J10-J30 </w:t>
      </w:r>
      <w:r>
        <w:t>的</w:t>
      </w:r>
      <w:r>
        <w:t xml:space="preserve"> reward </w:t>
      </w:r>
      <w:r>
        <w:t>随训练步数整体改善，而</w:t>
      </w:r>
      <w:r>
        <w:t xml:space="preserve"> J60 </w:t>
      </w:r>
      <w:r>
        <w:t>虽然也有改善，但未达到当前</w:t>
      </w:r>
      <w:r>
        <w:t xml:space="preserve"> Q </w:t>
      </w:r>
      <w:r>
        <w:t>表变化阈值。</w:t>
      </w:r>
    </w:p>
    <w:p w14:paraId="61ACC433" w14:textId="77777777" w:rsidR="004E7069" w:rsidRDefault="006943E1">
      <w:pPr>
        <w:spacing w:before="80" w:after="80"/>
        <w:ind w:firstLine="420"/>
      </w:pPr>
      <w:r>
        <w:t xml:space="preserve">J10 </w:t>
      </w:r>
      <w:r>
        <w:t>和</w:t>
      </w:r>
      <w:r>
        <w:t xml:space="preserve"> J20 </w:t>
      </w:r>
      <w:r>
        <w:t>的平滑</w:t>
      </w:r>
      <w:r>
        <w:t xml:space="preserve"> reward </w:t>
      </w:r>
      <w:r>
        <w:t>后期趋于稳定，</w:t>
      </w:r>
      <w:r>
        <w:t xml:space="preserve">Q </w:t>
      </w:r>
      <w:r>
        <w:t>表最大变化量接近</w:t>
      </w:r>
      <w:r>
        <w:t xml:space="preserve"> </w:t>
      </w:r>
      <w:r>
        <w:rPr>
          <w:rFonts w:ascii="Consolas" w:eastAsia="Consolas" w:hAnsi="Consolas"/>
          <w:color w:val="444444"/>
        </w:rPr>
        <w:t>10^-3</w:t>
      </w:r>
      <w:r>
        <w:t xml:space="preserve"> </w:t>
      </w:r>
      <w:r>
        <w:t>量级，可以支持</w:t>
      </w:r>
      <w:r>
        <w:t>“</w:t>
      </w:r>
      <w:r>
        <w:t>具有较好收敛趋势</w:t>
      </w:r>
      <w:r>
        <w:t>”</w:t>
      </w:r>
      <w:r>
        <w:t>的表述。</w:t>
      </w:r>
      <w:r>
        <w:t xml:space="preserve">J30 </w:t>
      </w:r>
      <w:r>
        <w:t>的</w:t>
      </w:r>
      <w:r>
        <w:t xml:space="preserve"> reward </w:t>
      </w:r>
      <w:r>
        <w:t>有明显提升，但不同案例和</w:t>
      </w:r>
      <w:r>
        <w:t xml:space="preserve"> seed </w:t>
      </w:r>
      <w:r>
        <w:t>之间仍存在波动。</w:t>
      </w:r>
      <w:r>
        <w:t xml:space="preserve">J60 </w:t>
      </w:r>
      <w:r>
        <w:t>的</w:t>
      </w:r>
      <w:r>
        <w:t xml:space="preserve"> reward </w:t>
      </w:r>
      <w:r>
        <w:t>从</w:t>
      </w:r>
      <w:r>
        <w:t xml:space="preserve"> -67.044 </w:t>
      </w:r>
      <w:r>
        <w:t>改善到</w:t>
      </w:r>
      <w:r>
        <w:t xml:space="preserve"> -50.664</w:t>
      </w:r>
      <w:r>
        <w:t>，但</w:t>
      </w:r>
      <w:r>
        <w:t xml:space="preserve"> Q </w:t>
      </w:r>
      <w:r>
        <w:t>表变化量仍明显高于收敛阈值，</w:t>
      </w:r>
      <w:r>
        <w:t>说明在当前训练预算下尚未完全收敛。</w:t>
      </w:r>
    </w:p>
    <w:p w14:paraId="3BEFC014" w14:textId="77777777" w:rsidR="004E7069" w:rsidRDefault="006943E1">
      <w:pPr>
        <w:spacing w:before="80" w:after="80"/>
        <w:ind w:firstLine="420"/>
      </w:pPr>
      <w:r>
        <w:t>因此，本文对收敛性的表述应保持边界：</w:t>
      </w:r>
      <w:r>
        <w:t xml:space="preserve">RQL </w:t>
      </w:r>
      <w:r>
        <w:t>在中小规模上表现出较清晰的收敛趋势，在</w:t>
      </w:r>
      <w:r>
        <w:t xml:space="preserve"> J60 </w:t>
      </w:r>
      <w:r>
        <w:t>上表现为有效改善但未完全收敛。</w:t>
      </w:r>
    </w:p>
    <w:p w14:paraId="77A89A27" w14:textId="77777777" w:rsidR="004E7069" w:rsidRDefault="006943E1">
      <w:pPr>
        <w:pStyle w:val="1"/>
        <w:spacing w:before="260" w:after="160"/>
      </w:pPr>
      <w:r>
        <w:t xml:space="preserve">6 </w:t>
      </w:r>
      <w:r>
        <w:t>讨论</w:t>
      </w:r>
    </w:p>
    <w:p w14:paraId="1A2EB0AC" w14:textId="77777777" w:rsidR="004E7069" w:rsidRDefault="006943E1">
      <w:pPr>
        <w:spacing w:before="80" w:after="80"/>
        <w:ind w:firstLine="420"/>
      </w:pPr>
      <w:r>
        <w:t>实验结果表明，</w:t>
      </w:r>
      <w:r>
        <w:t xml:space="preserve">RQL </w:t>
      </w:r>
      <w:r>
        <w:t>的优势来自学习偏好和前瞻评价的互补。</w:t>
      </w:r>
      <w:r>
        <w:t xml:space="preserve">Q-learning </w:t>
      </w:r>
      <w:r>
        <w:t>能够在重复训练中积累不同状态下的动作偏好；</w:t>
      </w:r>
      <w:r>
        <w:t xml:space="preserve">rollout cost-to-go </w:t>
      </w:r>
      <w:r>
        <w:t>能够在动作价值接近或终端奖励稀疏时提供未来影响评价。二者结合后，算法相较于</w:t>
      </w:r>
      <w:r>
        <w:t xml:space="preserve"> RH </w:t>
      </w:r>
      <w:r>
        <w:t>和</w:t>
      </w:r>
      <w:r>
        <w:t xml:space="preserve"> QL </w:t>
      </w:r>
      <w:r>
        <w:t>均表现出更好的解质量。</w:t>
      </w:r>
    </w:p>
    <w:p w14:paraId="0C3C7C8C" w14:textId="77777777" w:rsidR="004E7069" w:rsidRDefault="006943E1">
      <w:pPr>
        <w:spacing w:before="80" w:after="80"/>
        <w:ind w:firstLine="420"/>
      </w:pPr>
      <w:r>
        <w:t>同时，</w:t>
      </w:r>
      <w:r>
        <w:t xml:space="preserve">RQL </w:t>
      </w:r>
      <w:r>
        <w:t>的局限也较为明确。首先，</w:t>
      </w:r>
      <w:r>
        <w:t xml:space="preserve">cost-to-go </w:t>
      </w:r>
      <w:r>
        <w:t>前瞻仿</w:t>
      </w:r>
      <w:r>
        <w:t>真带来了较高计算成本，并且该成本随规模增加快速上升。其次，大规模下</w:t>
      </w:r>
      <w:r>
        <w:t xml:space="preserve"> Q </w:t>
      </w:r>
      <w:r>
        <w:t>表训练波动更明显，</w:t>
      </w:r>
      <w:r>
        <w:t xml:space="preserve">J60 </w:t>
      </w:r>
      <w:r>
        <w:t>在当前训练步数下尚未达到收敛阈值。再次，当前算法采用表格型</w:t>
      </w:r>
      <w:r>
        <w:t xml:space="preserve"> Q-learning</w:t>
      </w:r>
      <w:r>
        <w:t>，面对更大规模或更复杂特征时，其泛化能力仍然有限。</w:t>
      </w:r>
    </w:p>
    <w:p w14:paraId="0782B3F8" w14:textId="77777777" w:rsidR="004E7069" w:rsidRDefault="006943E1">
      <w:pPr>
        <w:spacing w:before="80" w:after="80"/>
        <w:ind w:firstLine="420"/>
      </w:pPr>
      <w:r>
        <w:t>后续优化可以从四个方向推进。第一，进行候选动作剪枝，减少不必要的</w:t>
      </w:r>
      <w:r>
        <w:t xml:space="preserve"> cost-to-go </w:t>
      </w:r>
      <w:r>
        <w:t>调用。第二，设计自适应</w:t>
      </w:r>
      <w:r>
        <w:t xml:space="preserve"> rollout </w:t>
      </w:r>
      <w:r>
        <w:t>深度，把仿真预算集中在高不确定性状态。第三，加强</w:t>
      </w:r>
      <w:r>
        <w:t xml:space="preserve"> cost-to-go </w:t>
      </w:r>
      <w:r>
        <w:t>缓存和并行计算，降低重复仿真开销。第四，引入函数近似方法替代表格</w:t>
      </w:r>
      <w:r>
        <w:t xml:space="preserve"> Q </w:t>
      </w:r>
      <w:r>
        <w:t>值，以提升大</w:t>
      </w:r>
      <w:r>
        <w:t>规模状态空间下的泛化能力。</w:t>
      </w:r>
    </w:p>
    <w:p w14:paraId="3C3EF1E8" w14:textId="77777777" w:rsidR="004E7069" w:rsidRDefault="006943E1">
      <w:pPr>
        <w:pStyle w:val="1"/>
        <w:spacing w:before="260" w:after="160"/>
      </w:pPr>
      <w:r>
        <w:t xml:space="preserve">7 </w:t>
      </w:r>
      <w:r>
        <w:t>结论</w:t>
      </w:r>
    </w:p>
    <w:p w14:paraId="55D32FB1" w14:textId="77777777" w:rsidR="004E7069" w:rsidRDefault="006943E1">
      <w:pPr>
        <w:spacing w:before="80" w:after="80"/>
        <w:ind w:firstLine="420"/>
      </w:pPr>
      <w:r>
        <w:t>本文提出了一种面向多里程碑多技能可中断项目调度的</w:t>
      </w:r>
      <w:r>
        <w:t xml:space="preserve"> Rollout-Q-learning </w:t>
      </w:r>
      <w:r>
        <w:t>算法。该算法结合六维离散状态表示、完整动作三元组、</w:t>
      </w:r>
      <w:r>
        <w:t xml:space="preserve">Q-learning </w:t>
      </w:r>
      <w:r>
        <w:t>更新、</w:t>
      </w:r>
      <w:r>
        <w:t xml:space="preserve">rollout cost-to-go </w:t>
      </w:r>
      <w:r>
        <w:t>前瞻评价、</w:t>
      </w:r>
      <w:r>
        <w:t xml:space="preserve">checkpoint </w:t>
      </w:r>
      <w:r>
        <w:t>选择和</w:t>
      </w:r>
      <w:r>
        <w:t xml:space="preserve"> beam search </w:t>
      </w:r>
      <w:r>
        <w:t>构解。</w:t>
      </w:r>
      <w:r>
        <w:t xml:space="preserve">J10-J60 </w:t>
      </w:r>
      <w:r>
        <w:t>实验结果表明，</w:t>
      </w:r>
      <w:r>
        <w:t xml:space="preserve">RQL </w:t>
      </w:r>
      <w:r>
        <w:t>在所有主实验规模上均取得最低</w:t>
      </w:r>
      <w:r>
        <w:t xml:space="preserve"> AOTV</w:t>
      </w:r>
      <w:r>
        <w:t>，并显著优于普通</w:t>
      </w:r>
      <w:r>
        <w:t xml:space="preserve"> Q-learning</w:t>
      </w:r>
      <w:r>
        <w:t>。与此同时，</w:t>
      </w:r>
      <w:r>
        <w:t xml:space="preserve">RQL </w:t>
      </w:r>
      <w:r>
        <w:t>的运行时间明显高于启发式方法，且</w:t>
      </w:r>
      <w:r>
        <w:t xml:space="preserve"> J60 </w:t>
      </w:r>
      <w:r>
        <w:t>在当前训练预算下尚未完全</w:t>
      </w:r>
      <w:r>
        <w:t>收敛。因此，</w:t>
      </w:r>
      <w:r>
        <w:t xml:space="preserve">RQL </w:t>
      </w:r>
      <w:r>
        <w:t>更适合作为解质量优先的动态调度方法，其大规模效率和稳定性仍需进一步优化。</w:t>
      </w:r>
    </w:p>
    <w:p w14:paraId="21D96E0C" w14:textId="77777777" w:rsidR="004E7069" w:rsidRDefault="006943E1">
      <w:pPr>
        <w:pStyle w:val="1"/>
        <w:spacing w:before="260" w:after="160"/>
      </w:pPr>
      <w:r>
        <w:t>图注</w:t>
      </w:r>
    </w:p>
    <w:p w14:paraId="2D5F868C" w14:textId="20A89591" w:rsidR="004E7069" w:rsidRDefault="006943E1">
      <w:pPr>
        <w:spacing w:before="240"/>
        <w:jc w:val="center"/>
      </w:pPr>
      <w:r w:rsidRPr="006943E1">
        <w:rPr>
          <w:noProof/>
        </w:rPr>
        <w:drawing>
          <wp:inline distT="0" distB="0" distL="0" distR="0" wp14:anchorId="7E7E9D3C" wp14:editId="0ED475E9">
            <wp:extent cx="5357163" cy="3035884"/>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357163" cy="3035884"/>
                    </a:xfrm>
                    <a:prstGeom prst="rect">
                      <a:avLst/>
                    </a:prstGeom>
                  </pic:spPr>
                </pic:pic>
              </a:graphicData>
            </a:graphic>
          </wp:inline>
        </w:drawing>
      </w:r>
    </w:p>
    <w:p w14:paraId="44B96793" w14:textId="77777777" w:rsidR="004E7069" w:rsidRDefault="006943E1">
      <w:pPr>
        <w:pStyle w:val="a4"/>
        <w:spacing w:after="80"/>
      </w:pPr>
      <w:r>
        <w:rPr>
          <w:b/>
        </w:rPr>
        <w:t>图</w:t>
      </w:r>
      <w:r>
        <w:rPr>
          <w:b/>
        </w:rPr>
        <w:t xml:space="preserve"> 1. </w:t>
      </w:r>
      <w:r>
        <w:rPr>
          <w:b/>
        </w:rPr>
        <w:t>面向多技能可中断项目调度的</w:t>
      </w:r>
      <w:r>
        <w:rPr>
          <w:b/>
        </w:rPr>
        <w:t xml:space="preserve"> RQL </w:t>
      </w:r>
      <w:r>
        <w:rPr>
          <w:b/>
        </w:rPr>
        <w:t>算法框架。</w:t>
      </w:r>
      <w:r>
        <w:t xml:space="preserve"> </w:t>
      </w:r>
      <w:r>
        <w:t>算法从项目状态中提取六维离散特征，选择任务</w:t>
      </w:r>
      <w:r>
        <w:t>-</w:t>
      </w:r>
      <w:r>
        <w:t>人员动作三元组，利用局部与全局奖励更新</w:t>
      </w:r>
      <w:r>
        <w:t xml:space="preserve"> Q </w:t>
      </w:r>
      <w:r>
        <w:t>表，并通过</w:t>
      </w:r>
      <w:r>
        <w:t xml:space="preserve"> rollout cost-to-go </w:t>
      </w:r>
      <w:r>
        <w:t>辅助训练和最终构解。</w:t>
      </w:r>
    </w:p>
    <w:p w14:paraId="17C74D85" w14:textId="41582136" w:rsidR="004E7069" w:rsidRDefault="006943E1">
      <w:pPr>
        <w:spacing w:before="240"/>
        <w:jc w:val="center"/>
      </w:pPr>
      <w:r w:rsidRPr="006943E1">
        <w:rPr>
          <w:noProof/>
        </w:rPr>
        <w:drawing>
          <wp:inline distT="0" distB="0" distL="0" distR="0" wp14:anchorId="6CFEDE6B" wp14:editId="3F86B558">
            <wp:extent cx="5731510" cy="3629660"/>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629660"/>
                    </a:xfrm>
                    <a:prstGeom prst="rect">
                      <a:avLst/>
                    </a:prstGeom>
                  </pic:spPr>
                </pic:pic>
              </a:graphicData>
            </a:graphic>
          </wp:inline>
        </w:drawing>
      </w:r>
    </w:p>
    <w:p w14:paraId="53F595FF" w14:textId="77777777" w:rsidR="004E7069" w:rsidRDefault="006943E1">
      <w:pPr>
        <w:pStyle w:val="a4"/>
        <w:spacing w:after="80"/>
      </w:pPr>
      <w:r>
        <w:rPr>
          <w:b/>
        </w:rPr>
        <w:t>图</w:t>
      </w:r>
      <w:r>
        <w:rPr>
          <w:b/>
        </w:rPr>
        <w:t xml:space="preserve"> 2. J10-J60 </w:t>
      </w:r>
      <w:r>
        <w:rPr>
          <w:b/>
        </w:rPr>
        <w:t>上的解质量对比。</w:t>
      </w:r>
      <w:r>
        <w:t xml:space="preserve"> RQL </w:t>
      </w:r>
      <w:r>
        <w:t>在</w:t>
      </w:r>
      <w:r>
        <w:t xml:space="preserve"> AOTV </w:t>
      </w:r>
      <w:r>
        <w:t>和</w:t>
      </w:r>
      <w:r>
        <w:t xml:space="preserve"> ARPD </w:t>
      </w:r>
      <w:r>
        <w:t>指标上均取得最低结果，说明其在加权里程碑延迟惩罚目标下具有稳定解质量优势。</w:t>
      </w:r>
    </w:p>
    <w:p w14:paraId="0F8837B3" w14:textId="72174D12" w:rsidR="004E7069" w:rsidRDefault="006943E1">
      <w:pPr>
        <w:spacing w:before="240"/>
        <w:jc w:val="center"/>
      </w:pPr>
      <w:r w:rsidRPr="006943E1">
        <w:rPr>
          <w:noProof/>
        </w:rPr>
        <w:drawing>
          <wp:inline distT="0" distB="0" distL="0" distR="0" wp14:anchorId="02F4B0C4" wp14:editId="776C07F4">
            <wp:extent cx="5731510" cy="2961005"/>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2961005"/>
                    </a:xfrm>
                    <a:prstGeom prst="rect">
                      <a:avLst/>
                    </a:prstGeom>
                  </pic:spPr>
                </pic:pic>
              </a:graphicData>
            </a:graphic>
          </wp:inline>
        </w:drawing>
      </w:r>
    </w:p>
    <w:p w14:paraId="77CD7C41" w14:textId="77777777" w:rsidR="004E7069" w:rsidRDefault="006943E1">
      <w:pPr>
        <w:pStyle w:val="a4"/>
        <w:spacing w:after="80"/>
      </w:pPr>
      <w:r>
        <w:rPr>
          <w:b/>
        </w:rPr>
        <w:t>图</w:t>
      </w:r>
      <w:r>
        <w:rPr>
          <w:b/>
        </w:rPr>
        <w:t xml:space="preserve"> 3. </w:t>
      </w:r>
      <w:r>
        <w:rPr>
          <w:b/>
        </w:rPr>
        <w:t>运行时间与解质量</w:t>
      </w:r>
      <w:r>
        <w:rPr>
          <w:b/>
        </w:rPr>
        <w:t>权衡。</w:t>
      </w:r>
      <w:r>
        <w:t xml:space="preserve"> RQL </w:t>
      </w:r>
      <w:r>
        <w:t>通过大量</w:t>
      </w:r>
      <w:r>
        <w:t xml:space="preserve"> rollout cost-to-go </w:t>
      </w:r>
      <w:r>
        <w:t>前瞻仿真提升解质量，但也带来显著计算时间成本。</w:t>
      </w:r>
    </w:p>
    <w:p w14:paraId="2124CC97" w14:textId="4A7A207E" w:rsidR="004E7069" w:rsidRDefault="006943E1">
      <w:pPr>
        <w:spacing w:before="240"/>
        <w:jc w:val="center"/>
      </w:pPr>
      <w:r w:rsidRPr="006943E1">
        <w:rPr>
          <w:noProof/>
        </w:rPr>
        <w:drawing>
          <wp:inline distT="0" distB="0" distL="0" distR="0" wp14:anchorId="4A3D6D38" wp14:editId="3F067C5E">
            <wp:extent cx="5731510" cy="3402965"/>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402965"/>
                    </a:xfrm>
                    <a:prstGeom prst="rect">
                      <a:avLst/>
                    </a:prstGeom>
                  </pic:spPr>
                </pic:pic>
              </a:graphicData>
            </a:graphic>
          </wp:inline>
        </w:drawing>
      </w:r>
    </w:p>
    <w:p w14:paraId="1BC983D1" w14:textId="77777777" w:rsidR="004E7069" w:rsidRDefault="006943E1">
      <w:pPr>
        <w:pStyle w:val="a4"/>
        <w:spacing w:after="80"/>
      </w:pPr>
      <w:r>
        <w:rPr>
          <w:b/>
        </w:rPr>
        <w:t>图</w:t>
      </w:r>
      <w:r>
        <w:rPr>
          <w:b/>
        </w:rPr>
        <w:t xml:space="preserve"> 4. RQL </w:t>
      </w:r>
      <w:r>
        <w:rPr>
          <w:b/>
        </w:rPr>
        <w:t>的规模依赖收敛行为。</w:t>
      </w:r>
      <w:r>
        <w:t xml:space="preserve"> J10-J20 </w:t>
      </w:r>
      <w:r>
        <w:t>具有较明显的收敛趋势，</w:t>
      </w:r>
      <w:r>
        <w:t xml:space="preserve">J30 </w:t>
      </w:r>
      <w:r>
        <w:t>有改善但仍有波动，</w:t>
      </w:r>
      <w:r>
        <w:t xml:space="preserve">J60 </w:t>
      </w:r>
      <w:r>
        <w:t>在当前预算下尚未完全收敛。</w:t>
      </w:r>
    </w:p>
    <w:p w14:paraId="1CD29CEE" w14:textId="77777777" w:rsidR="004E7069" w:rsidRDefault="006943E1">
      <w:pPr>
        <w:pStyle w:val="1"/>
        <w:spacing w:before="260" w:after="160"/>
      </w:pPr>
      <w:r>
        <w:t>待补充参考文献</w:t>
      </w:r>
    </w:p>
    <w:p w14:paraId="56DB0C2F" w14:textId="77777777" w:rsidR="004E7069" w:rsidRDefault="006943E1">
      <w:pPr>
        <w:spacing w:before="80" w:after="80"/>
        <w:ind w:firstLine="420"/>
      </w:pPr>
      <w:r>
        <w:t>本文未自动编造参考文献。正式投稿前建议补充并核验以下方向的文献：</w:t>
      </w:r>
    </w:p>
    <w:p w14:paraId="2C6F49FB" w14:textId="77777777" w:rsidR="004E7069" w:rsidRDefault="006943E1" w:rsidP="006943E1">
      <w:pPr>
        <w:numPr>
          <w:ilvl w:val="0"/>
          <w:numId w:val="5"/>
        </w:numPr>
        <w:spacing w:before="40" w:after="40"/>
      </w:pPr>
      <w:r>
        <w:t>TODO[REF-RCPSP]</w:t>
      </w:r>
      <w:r>
        <w:t>：资源受限项目调度。</w:t>
      </w:r>
    </w:p>
    <w:p w14:paraId="4475F308" w14:textId="77777777" w:rsidR="004E7069" w:rsidRDefault="006943E1" w:rsidP="006943E1">
      <w:pPr>
        <w:numPr>
          <w:ilvl w:val="0"/>
          <w:numId w:val="5"/>
        </w:numPr>
        <w:spacing w:before="40" w:after="40"/>
      </w:pPr>
      <w:r>
        <w:t>TODO[REF-MULTISKILL]</w:t>
      </w:r>
      <w:r>
        <w:t>：多技能项目调度。</w:t>
      </w:r>
    </w:p>
    <w:p w14:paraId="7BF9535E" w14:textId="77777777" w:rsidR="004E7069" w:rsidRDefault="006943E1" w:rsidP="006943E1">
      <w:pPr>
        <w:numPr>
          <w:ilvl w:val="0"/>
          <w:numId w:val="5"/>
        </w:numPr>
        <w:spacing w:before="40" w:after="40"/>
      </w:pPr>
      <w:r>
        <w:t>TODO[REF-INTERRUPTIBLE]</w:t>
      </w:r>
      <w:r>
        <w:t>：可中断任务调度</w:t>
      </w:r>
      <w:r>
        <w:t>。</w:t>
      </w:r>
    </w:p>
    <w:p w14:paraId="270038B5" w14:textId="77777777" w:rsidR="004E7069" w:rsidRDefault="006943E1" w:rsidP="006943E1">
      <w:pPr>
        <w:numPr>
          <w:ilvl w:val="0"/>
          <w:numId w:val="5"/>
        </w:numPr>
        <w:spacing w:before="40" w:after="40"/>
      </w:pPr>
      <w:r>
        <w:t>TODO[REF-ROLLOUT]</w:t>
      </w:r>
      <w:r>
        <w:t>：</w:t>
      </w:r>
      <w:r>
        <w:t xml:space="preserve">Rollout </w:t>
      </w:r>
      <w:r>
        <w:t>算法与近似动态规划。</w:t>
      </w:r>
    </w:p>
    <w:p w14:paraId="4E8C3F76" w14:textId="77777777" w:rsidR="004E7069" w:rsidRDefault="006943E1" w:rsidP="006943E1">
      <w:pPr>
        <w:numPr>
          <w:ilvl w:val="0"/>
          <w:numId w:val="5"/>
        </w:numPr>
        <w:spacing w:before="40" w:after="40"/>
      </w:pPr>
      <w:r>
        <w:t>TODO[REF-RL-SCHEDULING]</w:t>
      </w:r>
      <w:r>
        <w:t>：强化学习在调度中的应用。</w:t>
      </w:r>
    </w:p>
    <w:p w14:paraId="756B652F" w14:textId="77777777" w:rsidR="004E7069" w:rsidRDefault="006943E1" w:rsidP="006943E1">
      <w:pPr>
        <w:numPr>
          <w:ilvl w:val="0"/>
          <w:numId w:val="5"/>
        </w:numPr>
        <w:spacing w:before="40" w:after="40"/>
      </w:pPr>
      <w:r>
        <w:t>TODO[REF-QLEARNING]</w:t>
      </w:r>
      <w:r>
        <w:t>：</w:t>
      </w:r>
      <w:r>
        <w:t xml:space="preserve">Q-learning </w:t>
      </w:r>
      <w:r>
        <w:t>基础理论。</w:t>
      </w:r>
    </w:p>
    <w:sectPr w:rsidR="004E70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33412"/>
    <w:multiLevelType w:val="singleLevel"/>
    <w:tmpl w:val="8528B7D0"/>
    <w:lvl w:ilvl="0">
      <w:start w:val="1"/>
      <w:numFmt w:val="decimal"/>
      <w:lvlText w:val="%1."/>
      <w:lvlJc w:val="left"/>
      <w:pPr>
        <w:ind w:left="720" w:hanging="360"/>
      </w:pPr>
    </w:lvl>
  </w:abstractNum>
  <w:num w:numId="1">
    <w:abstractNumId w:val="0"/>
  </w:num>
  <w:num w:numId="2">
    <w:abstractNumId w:val="0"/>
  </w:num>
  <w:num w:numId="3">
    <w:abstractNumId w:val="0"/>
  </w:num>
  <w:num w:numId="4">
    <w:abstractNumId w:val="0"/>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4E7069"/>
    <w:rsid w:val="004E7069"/>
    <w:rsid w:val="00694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ED57"/>
  <w15:docId w15:val="{165F57FB-C3C8-4AE9-85AE-AE9495787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pPr>
    <w:rPr>
      <w:rFonts w:ascii="Times New Roman" w:eastAsia="宋体" w:hAnsi="Times New Roman"/>
      <w:sz w:val="24"/>
      <w:szCs w:val="24"/>
    </w:rPr>
  </w:style>
  <w:style w:type="paragraph" w:styleId="1">
    <w:name w:val="heading 1"/>
    <w:basedOn w:val="a"/>
    <w:next w:val="a"/>
    <w:uiPriority w:val="9"/>
    <w:qFormat/>
    <w:pPr>
      <w:spacing w:before="300" w:after="180"/>
      <w:outlineLvl w:val="0"/>
    </w:pPr>
    <w:rPr>
      <w:b/>
      <w:sz w:val="30"/>
      <w:szCs w:val="30"/>
    </w:rPr>
  </w:style>
  <w:style w:type="paragraph" w:styleId="2">
    <w:name w:val="heading 2"/>
    <w:basedOn w:val="a"/>
    <w:next w:val="a"/>
    <w:uiPriority w:val="9"/>
    <w:unhideWhenUsed/>
    <w:qFormat/>
    <w:pPr>
      <w:spacing w:before="220" w:after="140"/>
      <w:outlineLvl w:val="1"/>
    </w:pPr>
    <w:rPr>
      <w:b/>
      <w:sz w:val="26"/>
      <w:szCs w:val="26"/>
    </w:rPr>
  </w:style>
  <w:style w:type="paragraph" w:styleId="3">
    <w:name w:val="heading 3"/>
    <w:basedOn w:val="a"/>
    <w:next w:val="a"/>
    <w:uiPriority w:val="9"/>
    <w:semiHidden/>
    <w:unhideWhenUsed/>
    <w:qFormat/>
    <w:pPr>
      <w:spacing w:before="180" w:after="10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360"/>
      <w:jc w:val="center"/>
    </w:pPr>
    <w:rPr>
      <w:b/>
      <w:sz w:val="36"/>
      <w:szCs w:val="36"/>
    </w:rPr>
  </w:style>
  <w:style w:type="paragraph" w:styleId="a4">
    <w:name w:val="caption"/>
    <w:basedOn w:val="a"/>
    <w:pPr>
      <w:spacing w:before="80" w:after="160"/>
    </w:pPr>
    <w:rPr>
      <w:i/>
      <w:sz w:val="21"/>
      <w:szCs w:val="21"/>
    </w:rPr>
  </w:style>
  <w:style w:type="paragraph" w:customStyle="1" w:styleId="TableText">
    <w:name w:val="Table Text"/>
    <w:basedOn w:val="a"/>
    <w:pPr>
      <w:spacing w:after="0" w:line="300" w:lineRule="auto"/>
    </w:pPr>
    <w:rPr>
      <w:sz w:val="18"/>
      <w:szCs w:val="18"/>
    </w:rPr>
  </w:style>
  <w:style w:type="paragraph" w:customStyle="1" w:styleId="CodeBlock">
    <w:name w:val="Code Block"/>
    <w:basedOn w:val="a"/>
    <w:rPr>
      <w:rFonts w:ascii="Consolas" w:eastAsia="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1141</Words>
  <Characters>6508</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面向多里程碑多技能可中断项目调度的 Rollout-Q-learning 算法</dc:title>
  <dc:creator>Codex</dc:creator>
  <cp:lastModifiedBy>海涛 梁</cp:lastModifiedBy>
  <cp:revision>2</cp:revision>
  <dcterms:created xsi:type="dcterms:W3CDTF">2026-06-06T09:00:00Z</dcterms:created>
  <dcterms:modified xsi:type="dcterms:W3CDTF">2026-06-06T09:04:00Z</dcterms:modified>
</cp:coreProperties>
</file>