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260" w:after="180" w:line="360" w:lineRule="auto"/>
        <w:jc w:val="center"/>
      </w:pPr>
      <w:r>
        <w:rPr>
          <w:b/>
          <w:sz w:val="34"/>
          <w:szCs w:val="34"/>
          <w:rFonts w:ascii="Times New Roman" w:hAnsi="Times New Roman" w:eastAsia="SimSun"/>
        </w:rPr>
        <w:t xml:space="preserve">基于 Rollout-Q-learning 动态调度算法的参数正交实验结果分析</w:t>
      </w:r>
    </w:p>
    <w:p>
      <w:pPr>
        <w:spacing w:before="0" w:after="180" w:line="360" w:lineRule="auto"/>
        <w:jc w:val="center"/>
      </w:pPr>
      <w:r>
        <w:rPr>
          <w:i/>
          <w:sz w:val="22"/>
          <w:szCs w:val="22"/>
          <w:rFonts w:ascii="Times New Roman" w:hAnsi="Times New Roman" w:eastAsia="SimSun"/>
        </w:rPr>
        <w:t xml:space="preserve">中文 SCI 风格实验报告</w:t>
      </w:r>
    </w:p>
    <w:p>
      <w:pPr>
        <w:spacing w:before="0" w:after="80" w:line="360" w:lineRule="auto"/>
        <w:jc w:val="center"/>
      </w:pPr>
      <w:r>
        <w:rPr>
          <w:sz w:val="18"/>
          <w:szCs w:val="18"/>
          <w:rFonts w:ascii="Times New Roman" w:hAnsi="Times New Roman" w:eastAsia="SimSun"/>
        </w:rPr>
        <w:t xml:space="preserve">生成时间：2026-05-03 17:24:02</w:t>
      </w:r>
    </w:p>
    <w:p>
      <w:pPr>
        <w:spacing w:before="0" w:after="160" w:line="360" w:lineRule="auto"/>
        <w:jc w:val="center"/>
      </w:pPr>
      <w:r>
        <w:rPr>
          <w:sz w:val="18"/>
          <w:szCs w:val="18"/>
          <w:rFonts w:ascii="Times New Roman" w:hAnsi="Times New Roman" w:eastAsia="SimSun"/>
        </w:rPr>
        <w:t xml:space="preserve">数据来源：orthogonal_results.xlsx；验证来源：validation_best_vs_main_effect.xlsx</w:t>
      </w:r>
    </w:p>
    <w:p>
      <w:pPr>
        <w:pStyle w:val="Heading1"/>
        <w:spacing w:before="240" w:after="120" w:line="360" w:lineRule="auto"/>
      </w:pPr>
      <w:r>
        <w:rPr>
          <w:b/>
          <w:sz w:val="30"/>
          <w:szCs w:val="30"/>
          <w:rFonts w:ascii="Times New Roman" w:hAnsi="Times New Roman" w:eastAsia="SimSun"/>
        </w:rPr>
        <w:t xml:space="preserve">摘要</w:t>
      </w:r>
    </w:p>
    <w:p>
      <w:pPr>
        <w:spacing w:before="80" w:after="80" w:line="360" w:lineRule="auto"/>
      </w:pPr>
      <w:r>
        <w:rPr>
          <w:sz w:val="21"/>
          <w:szCs w:val="21"/>
          <w:rFonts w:ascii="Times New Roman" w:hAnsi="Times New Roman" w:eastAsia="SimSun"/>
        </w:rPr>
        <w:t xml:space="preserve">为降低大规模算例参数搜索的计算开销，本报告基于 J10、J20 与 J30 中小规模算例，对 Rollout-Q-learning（RQL）动态调度算法开展分层正交实验。实验首先对 Q-learning 训练参数进行 L9(3^4) 正交设计，其次在最优训练参数基础上对奖励结构与最终构解参数进行 L9(3^4) 正交设计，最后对训练回合数 EP 进行敏感性分析。评价指标以总延误惩罚 penalty 为核心，同时报告 AOTV、Best、Std、ARPD、运行时间与收敛率。结果表明，训练参数中学习率 alpha 对解质量影响最显著；奖励结构中 local_reward_scale 影响最大。EP 敏感性结果显示 EP=500 在解质量与运行时间之间取得较优折中。进一步的主效应推荐组合对照验证表明，当前 best_params 在 J30 上具有明显优势，因此建议正式实验采用 best_params 作为 RQL 定参方案。</w:t>
      </w:r>
    </w:p>
    <w:p>
      <w:pPr>
        <w:spacing w:before="80" w:after="80" w:line="360" w:lineRule="auto"/>
      </w:pPr>
      <w:r>
        <w:rPr>
          <w:sz w:val="21"/>
          <w:szCs w:val="21"/>
          <w:rFonts w:ascii="Times New Roman" w:hAnsi="Times New Roman" w:eastAsia="SimSun"/>
        </w:rPr>
        <w:t xml:space="preserve">关键词：动态调度；Rollout-Q-learning；Q-learning；正交实验；参数调优；总延误惩罚</w:t>
      </w:r>
    </w:p>
    <w:p>
      <w:pPr>
        <w:pStyle w:val="Heading1"/>
        <w:spacing w:before="240" w:after="120" w:line="360" w:lineRule="auto"/>
      </w:pPr>
      <w:r>
        <w:rPr>
          <w:b/>
          <w:sz w:val="30"/>
          <w:szCs w:val="30"/>
          <w:rFonts w:ascii="Times New Roman" w:hAnsi="Times New Roman" w:eastAsia="SimSun"/>
        </w:rPr>
        <w:t xml:space="preserve">1 实验目的与设计原则</w:t>
      </w:r>
    </w:p>
    <w:p>
      <w:pPr>
        <w:spacing w:before="80" w:after="80" w:line="360" w:lineRule="auto"/>
      </w:pPr>
      <w:r>
        <w:rPr>
          <w:sz w:val="21"/>
          <w:szCs w:val="21"/>
          <w:rFonts w:ascii="Times New Roman" w:hAnsi="Times New Roman" w:eastAsia="SimSun"/>
        </w:rPr>
        <w:t xml:space="preserve">本次正交实验的目标不是直接完成所有基线算法的正式比较，而是在计算成本可控的前提下，为 RQL 方法确定一组可解释、可复现且在中小规模算例上表现稳定的参数。由于 J60 至 J120 算例运行时间明显增加，本阶段将调参范围限定为 J10、J20 与 J30；该选择能够覆盖从简单任务网络到中等任务网络的变化，同时避免大规模算例导致的组合搜索成本失控。</w:t>
      </w:r>
    </w:p>
    <w:p>
      <w:pPr>
        <w:spacing w:before="80" w:after="80" w:line="360" w:lineRule="auto"/>
      </w:pPr>
      <w:r>
        <w:rPr>
          <w:sz w:val="21"/>
          <w:szCs w:val="21"/>
          <w:rFonts w:ascii="Times New Roman" w:hAnsi="Times New Roman" w:eastAsia="SimSun"/>
        </w:rPr>
        <w:t xml:space="preserve">实验输入全部来自 cases 目录下已有算例。J 表示真实任务数，文件节点数为 J+2，包含虚拟起点与虚拟终点。本次有效算例规模为 J10, J20, J30，各规模样本数为 J10: 3, J20: 3, J30: 3，合计 9 个算例；每个参数组合在每个算例上运行 seed=0,1,2 三个随机种子。输入校验结果为：无失败运行。</w:t>
      </w:r>
    </w:p>
    <w:p>
      <w:pPr>
        <w:pStyle w:val="Heading1"/>
        <w:spacing w:before="240" w:after="120" w:line="360" w:lineRule="auto"/>
      </w:pPr>
      <w:r>
        <w:rPr>
          <w:b/>
          <w:sz w:val="30"/>
          <w:szCs w:val="30"/>
          <w:rFonts w:ascii="Times New Roman" w:hAnsi="Times New Roman" w:eastAsia="SimSun"/>
        </w:rPr>
        <w:t xml:space="preserve">2 指标定义与评价口径</w:t>
      </w:r>
    </w:p>
    <w:p>
      <w:pPr>
        <w:spacing w:before="80" w:after="80" w:line="360" w:lineRule="auto"/>
      </w:pPr>
      <w:r>
        <w:rPr>
          <w:sz w:val="21"/>
          <w:szCs w:val="21"/>
          <w:rFonts w:ascii="Times New Roman" w:hAnsi="Times New Roman" w:eastAsia="SimSun"/>
        </w:rPr>
        <w:t xml:space="preserve">penalty 表示当前代码中定义的总延误惩罚，数值越小表示调度结果越优。AOTV 表示同一规模下算法在所有选中案例上的平均 penalty。Best 表示同一案例多个 seed 中最小 penalty 的平均值。Std 表示实例级平均 penalty 的标准差，用于度量不同案例之间的稳定性。ARPD 定义为 mean((F_A(I)-F*(I))/max(F*(I),1))*100%，其中 F*(I) 为同一案例所有待比较参数组合得到的最小 penalty。Time 采用 total_time 的平均值，用于反映训练与求解的综合开销。</w:t>
      </w:r>
    </w:p>
    <w:p>
      <w:pPr>
        <w:spacing w:before="80" w:after="80" w:line="360" w:lineRule="auto"/>
      </w:pPr>
      <w:r>
        <w:rPr>
          <w:sz w:val="21"/>
          <w:szCs w:val="21"/>
          <w:rFonts w:ascii="Times New Roman" w:hAnsi="Times New Roman" w:eastAsia="SimSun"/>
        </w:rPr>
        <w:t xml:space="preserve">参数选择以 mean_ARPD 为主要准则，因为 ARPD 能削弱不同案例 penalty 量级差异对均值的影响；在 ARPD 接近时，再结合 mean_penalty、运行时间与收敛率进行解释。需要注意的是，若某些案例的最佳已知 penalty 为 0，则 ARPD 使用 max(F*(I),1) 作为分母，避免除零，但相对误差仍可能被放大。</w:t>
      </w:r>
    </w:p>
    <w:p>
      <w:pPr>
        <w:pStyle w:val="Heading1"/>
        <w:spacing w:before="240" w:after="120" w:line="360" w:lineRule="auto"/>
      </w:pPr>
      <w:r>
        <w:rPr>
          <w:b/>
          <w:sz w:val="30"/>
          <w:szCs w:val="30"/>
          <w:rFonts w:ascii="Times New Roman" w:hAnsi="Times New Roman" w:eastAsia="SimSun"/>
        </w:rPr>
        <w:t xml:space="preserve">3 参数水平设置</w:t>
      </w:r>
    </w:p>
    <w:p>
      <w:pPr>
        <w:pStyle w:val="Heading2"/>
        <w:spacing w:before="180" w:after="100" w:line="360" w:lineRule="auto"/>
      </w:pPr>
      <w:r>
        <w:rPr>
          <w:b/>
          <w:sz w:val="25"/>
          <w:szCs w:val="25"/>
          <w:rFonts w:ascii="Times New Roman" w:hAnsi="Times New Roman" w:eastAsia="SimSun"/>
        </w:rPr>
        <w:t xml:space="preserve">3.1 第一层：Q-learning 训练参数</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1500"/>
        <w:gridCol w:w="1300"/>
        <w:gridCol w:w="1300"/>
        <w:gridCol w:w="1300"/>
        <w:gridCol w:w="3626"/>
      </w:tblGrid>
      <w:tr>
        <w:tc>
          <w:tcPr>
            <w:tcW w:w="15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参数</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水平 1</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水平 2</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水平 3</w:t>
            </w:r>
          </w:p>
        </w:tc>
        <w:tc>
          <w:tcPr>
            <w:tcW w:w="362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含义</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alpha</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0.05</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0.20</w:t>
            </w:r>
          </w:p>
        </w:tc>
        <w:tc>
          <w:tcPr>
            <w:tcW w:w="36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学习率，控制新样本覆盖旧 Q 值的强度</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gamma</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0.95</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36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折扣因子，控制未来收益在当前更新中的占比</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epsilon_initial</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0.30</w:t>
            </w:r>
          </w:p>
        </w:tc>
        <w:tc>
          <w:tcPr>
            <w:tcW w:w="36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初始探索率，控制训练早期随机探索概率</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epsilon_decay</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0.995</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0.999</w:t>
            </w:r>
          </w:p>
        </w:tc>
        <w:tc>
          <w:tcPr>
            <w:tcW w:w="36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探索率衰减系数，控制探索到利用的转换速度</w:t>
            </w:r>
          </w:p>
        </w:tc>
      </w:tr>
    </w:tbl>
    <w:p>
      <w:pPr>
        <w:spacing w:before="80" w:after="60" w:line="360" w:lineRule="auto"/>
      </w:pPr>
      <w:r>
        <w:rPr>
          <w:sz w:val="21"/>
          <w:szCs w:val="21"/>
          <w:rFonts w:ascii="Times New Roman" w:hAnsi="Times New Roman" w:eastAsia="SimSun"/>
        </w:rPr>
        <w:t xml:space="preserve"/>
      </w:r>
    </w:p>
    <w:p>
      <w:pPr>
        <w:pStyle w:val="Heading2"/>
        <w:spacing w:before="180" w:after="100" w:line="360" w:lineRule="auto"/>
      </w:pPr>
      <w:r>
        <w:rPr>
          <w:b/>
          <w:sz w:val="25"/>
          <w:szCs w:val="25"/>
          <w:rFonts w:ascii="Times New Roman" w:hAnsi="Times New Roman" w:eastAsia="SimSun"/>
        </w:rPr>
        <w:t xml:space="preserve">3.2 第二层：奖励结构与最终构解参数</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1800"/>
        <w:gridCol w:w="1300"/>
        <w:gridCol w:w="1300"/>
        <w:gridCol w:w="1300"/>
        <w:gridCol w:w="3326"/>
      </w:tblGrid>
      <w:tr>
        <w:tc>
          <w:tcPr>
            <w:tcW w:w="18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参数</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水平 1</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水平 2</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水平 3</w:t>
            </w:r>
          </w:p>
        </w:tc>
        <w:tc>
          <w:tcPr>
            <w:tcW w:w="332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含义</w:t>
            </w:r>
          </w:p>
        </w:tc>
      </w:tr>
      <w:tr>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global_reward_scale</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0.50</w:t>
            </w:r>
          </w:p>
        </w:tc>
        <w:tc>
          <w:tcPr>
            <w:tcW w:w="3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全局总延误惩罚奖励权重</w:t>
            </w:r>
          </w:p>
        </w:tc>
      </w:tr>
      <w:tr>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local_reward_scale</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0.40</w:t>
            </w:r>
          </w:p>
        </w:tc>
        <w:tc>
          <w:tcPr>
            <w:tcW w:w="3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动作集局部反馈奖励权重</w:t>
            </w:r>
          </w:p>
        </w:tc>
      </w:tr>
      <w:tr>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lookahead_reward_weight</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1.50</w:t>
            </w:r>
          </w:p>
        </w:tc>
        <w:tc>
          <w:tcPr>
            <w:tcW w:w="3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cost-to-go 前瞻收益权重</w:t>
            </w:r>
          </w:p>
        </w:tc>
      </w:tr>
      <w:tr>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beam_width</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w:t>
            </w:r>
          </w:p>
        </w:tc>
        <w:tc>
          <w:tcPr>
            <w:tcW w:w="3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最终构解阶段保留的候选动作集数量</w:t>
            </w:r>
          </w:p>
        </w:tc>
      </w:tr>
    </w:tbl>
    <w:p>
      <w:pPr>
        <w:spacing w:before="80" w:after="60" w:line="360" w:lineRule="auto"/>
      </w:pPr>
      <w:r>
        <w:rPr>
          <w:sz w:val="21"/>
          <w:szCs w:val="21"/>
          <w:rFonts w:ascii="Times New Roman" w:hAnsi="Times New Roman" w:eastAsia="SimSun"/>
        </w:rPr>
        <w:t xml:space="preserve"/>
      </w:r>
    </w:p>
    <w:p>
      <w:pPr>
        <w:pStyle w:val="Heading2"/>
        <w:spacing w:before="180" w:after="100" w:line="360" w:lineRule="auto"/>
      </w:pPr>
      <w:r>
        <w:rPr>
          <w:b/>
          <w:sz w:val="25"/>
          <w:szCs w:val="25"/>
          <w:rFonts w:ascii="Times New Roman" w:hAnsi="Times New Roman" w:eastAsia="SimSun"/>
        </w:rPr>
        <w:t xml:space="preserve">3.3 第三层：EP 敏感性分析</w:t>
      </w:r>
    </w:p>
    <w:p>
      <w:pPr>
        <w:spacing w:before="80" w:after="80" w:line="360" w:lineRule="auto"/>
      </w:pPr>
      <w:r>
        <w:rPr>
          <w:sz w:val="21"/>
          <w:szCs w:val="21"/>
          <w:rFonts w:ascii="Times New Roman" w:hAnsi="Times New Roman" w:eastAsia="SimSun"/>
        </w:rPr>
        <w:t xml:space="preserve">在前两层参数确定后，单独考察最大训练回合数 EP 对解质量、收敛率与运行时间的影响。候选值设置为 200、500、1000 与 1500。</w:t>
      </w:r>
    </w:p>
    <w:p>
      <w:r>
        <w:br w:type="page"/>
      </w:r>
    </w:p>
    <w:p>
      <w:pPr>
        <w:pStyle w:val="Heading1"/>
        <w:spacing w:before="240" w:after="120" w:line="360" w:lineRule="auto"/>
      </w:pPr>
      <w:r>
        <w:rPr>
          <w:b/>
          <w:sz w:val="30"/>
          <w:szCs w:val="30"/>
          <w:rFonts w:ascii="Times New Roman" w:hAnsi="Times New Roman" w:eastAsia="SimSun"/>
        </w:rPr>
        <w:t xml:space="preserve">4 正交实验结果</w:t>
      </w:r>
    </w:p>
    <w:p>
      <w:pPr>
        <w:pStyle w:val="Heading2"/>
        <w:spacing w:before="180" w:after="100" w:line="360" w:lineRule="auto"/>
      </w:pPr>
      <w:r>
        <w:rPr>
          <w:b/>
          <w:sz w:val="25"/>
          <w:szCs w:val="25"/>
          <w:rFonts w:ascii="Times New Roman" w:hAnsi="Times New Roman" w:eastAsia="SimSun"/>
        </w:rPr>
        <w:t xml:space="preserve">4.1 Q-learning 训练参数正交结果</w:t>
      </w:r>
    </w:p>
    <w:p>
      <w:pPr>
        <w:spacing w:before="80" w:after="80" w:line="360" w:lineRule="auto"/>
      </w:pPr>
      <w:r>
        <w:rPr>
          <w:sz w:val="21"/>
          <w:szCs w:val="21"/>
          <w:rFonts w:ascii="Times New Roman" w:hAnsi="Times New Roman" w:eastAsia="SimSun"/>
        </w:rPr>
        <w:t xml:space="preserve">第一层正交实验的最优实测组合为 TRAINING-09，对应 alpha=0.2、gamma=0.99、epsilon=0.2、epsilon_decay=0.99。该组合的 mean_penalty=5.211，mean_ARPD=102.401，mean_time=90.177 s，收敛率为 44.4%。</w:t>
      </w:r>
    </w:p>
    <w:tbl>
      <w:tblPr>
        <w:tblW w:w="91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1150"/>
        <w:gridCol w:w="800"/>
        <w:gridCol w:w="800"/>
        <w:gridCol w:w="850"/>
        <w:gridCol w:w="850"/>
        <w:gridCol w:w="1050"/>
        <w:gridCol w:w="1000"/>
        <w:gridCol w:w="950"/>
        <w:gridCol w:w="850"/>
        <w:gridCol w:w="876"/>
      </w:tblGrid>
      <w:tr>
        <w:tc>
          <w:tcPr>
            <w:tcW w:w="11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组合</w:t>
            </w:r>
          </w:p>
        </w:tc>
        <w:tc>
          <w:tcPr>
            <w:tcW w:w="8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alpha</w:t>
            </w:r>
          </w:p>
        </w:tc>
        <w:tc>
          <w:tcPr>
            <w:tcW w:w="8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gamma</w:t>
            </w:r>
          </w:p>
        </w:tc>
        <w:tc>
          <w:tcPr>
            <w:tcW w:w="8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epsilon</w:t>
            </w:r>
          </w:p>
        </w:tc>
        <w:tc>
          <w:tcPr>
            <w:tcW w:w="8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decay</w:t>
            </w:r>
          </w:p>
        </w:tc>
        <w:tc>
          <w:tcPr>
            <w:tcW w:w="10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mean_penalty</w:t>
            </w:r>
          </w:p>
        </w:tc>
        <w:tc>
          <w:tcPr>
            <w:tcW w:w="10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ARPD</w:t>
            </w:r>
          </w:p>
        </w:tc>
        <w:tc>
          <w:tcPr>
            <w:tcW w:w="9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Time(s)</w:t>
            </w:r>
          </w:p>
        </w:tc>
        <w:tc>
          <w:tcPr>
            <w:tcW w:w="8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收敛率</w:t>
            </w:r>
          </w:p>
        </w:tc>
        <w:tc>
          <w:tcPr>
            <w:tcW w:w="87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平均回合</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7.367</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317.054</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115.364</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44.4%</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860.1</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TRAINING-02</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0.95</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0.995</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8.933</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252.607</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115.849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44.4%</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871.8</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TRAINING-03</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0.999</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8.978</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382.751</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125.537</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37.0%</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924.8</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TRAINING-04</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0.999</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5.833</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154.516</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114.804</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33.3%</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944.4</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0.95</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6.322</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144.737</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101.384</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44.4%</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859.7</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TRAINING-06</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0.995</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8.085</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205.615</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102.362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51.9%</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863.7</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TRAINING-07</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0.995</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6.459</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117.813</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91.074</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48.1%</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904.7</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TRAINING-08</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0.95</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0.999</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5.359</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104.656</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98.549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25.9%</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954.8</w:t>
            </w:r>
          </w:p>
        </w:tc>
      </w:tr>
      <w:tr>
        <w:tc>
          <w:tcPr>
            <w:tcW w:w="11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TRAINING-09</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5.211</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102.401</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90.177</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44.4%</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873.6</w:t>
            </w:r>
          </w:p>
        </w:tc>
      </w:tr>
    </w:tbl>
    <w:p>
      <w:pPr>
        <w:spacing w:before="80" w:after="60" w:line="360" w:lineRule="auto"/>
      </w:pPr>
      <w:r>
        <w:rPr>
          <w:sz w:val="21"/>
          <w:szCs w:val="21"/>
          <w:rFonts w:ascii="Times New Roman" w:hAnsi="Times New Roman" w:eastAsia="SimSun"/>
        </w:rPr>
        <w:t xml:space="preserve"/>
      </w:r>
    </w:p>
    <w:p>
      <w:pPr>
        <w:spacing w:before="80" w:after="80" w:line="360" w:lineRule="auto"/>
      </w:pPr>
      <w:r>
        <w:rPr>
          <w:sz w:val="21"/>
          <w:szCs w:val="21"/>
          <w:rFonts w:ascii="Times New Roman" w:hAnsi="Times New Roman" w:eastAsia="SimSun"/>
        </w:rPr>
        <w:t xml:space="preserve">极差分析显示，alpha 的 range_R=209.181，是训练参数中影响最大的因素；其次为 gamma、epsilon 与 epsilon_decay。alpha 从 0.05 提高到 0.20 后，mean_ARPD 由 317.471 降至 108.290，说明较高学习率有助于在有限训练回合内更快修正 Q 表。epsilon 的最佳主效应水平为 0.20，表明过低探索不足，过高探索则会引入过多随机动作。epsilon_decay 的最佳主效应水平为 0.990，说明中小规模算例中较快衰减探索有利于稳定策略。</w:t>
      </w:r>
    </w:p>
    <w:p>
      <w:pPr>
        <w:pStyle w:val="Heading2"/>
        <w:spacing w:before="180" w:after="100" w:line="360" w:lineRule="auto"/>
      </w:pPr>
      <w:r>
        <w:rPr>
          <w:b/>
          <w:sz w:val="25"/>
          <w:szCs w:val="25"/>
          <w:rFonts w:ascii="Times New Roman" w:hAnsi="Times New Roman" w:eastAsia="SimSun"/>
        </w:rPr>
        <w:t xml:space="preserve">4.2 奖励结构与构解参数正交结果</w:t>
      </w:r>
    </w:p>
    <w:p>
      <w:pPr>
        <w:spacing w:before="80" w:after="80" w:line="360" w:lineRule="auto"/>
      </w:pPr>
      <w:r>
        <w:rPr>
          <w:sz w:val="21"/>
          <w:szCs w:val="21"/>
          <w:rFonts w:ascii="Times New Roman" w:hAnsi="Times New Roman" w:eastAsia="SimSun"/>
        </w:rPr>
        <w:t xml:space="preserve">第二层正交实验的最优实测组合为 REWARD-03，对应 global_reward_scale=0.1、local_reward_scale=0.4、lookahead_reward_weight=1.5、beam_width=5。该组合 mean_penalty=5.196，mean_ARPD=102.122，mean_time=72.496 s，收敛率为 77.8%。</w:t>
      </w:r>
    </w:p>
    <w:tbl>
      <w:tblPr>
        <w:tblW w:w="91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1050"/>
        <w:gridCol w:w="850"/>
        <w:gridCol w:w="800"/>
        <w:gridCol w:w="1050"/>
        <w:gridCol w:w="700"/>
        <w:gridCol w:w="1050"/>
        <w:gridCol w:w="1000"/>
        <w:gridCol w:w="950"/>
        <w:gridCol w:w="850"/>
        <w:gridCol w:w="876"/>
      </w:tblGrid>
      <w:tr>
        <w:tc>
          <w:tcPr>
            <w:tcW w:w="10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组合</w:t>
            </w:r>
          </w:p>
        </w:tc>
        <w:tc>
          <w:tcPr>
            <w:tcW w:w="8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global</w:t>
            </w:r>
          </w:p>
        </w:tc>
        <w:tc>
          <w:tcPr>
            <w:tcW w:w="8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local</w:t>
            </w:r>
          </w:p>
        </w:tc>
        <w:tc>
          <w:tcPr>
            <w:tcW w:w="10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lookahead</w:t>
            </w:r>
          </w:p>
        </w:tc>
        <w:tc>
          <w:tcPr>
            <w:tcW w:w="7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beam</w:t>
            </w:r>
          </w:p>
        </w:tc>
        <w:tc>
          <w:tcPr>
            <w:tcW w:w="10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mean_penalty</w:t>
            </w:r>
          </w:p>
        </w:tc>
        <w:tc>
          <w:tcPr>
            <w:tcW w:w="10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ARPD</w:t>
            </w:r>
          </w:p>
        </w:tc>
        <w:tc>
          <w:tcPr>
            <w:tcW w:w="9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Time(s)</w:t>
            </w:r>
          </w:p>
        </w:tc>
        <w:tc>
          <w:tcPr>
            <w:tcW w:w="85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收敛率</w:t>
            </w:r>
          </w:p>
        </w:tc>
        <w:tc>
          <w:tcPr>
            <w:tcW w:w="87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平均回合</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REWARD-01</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6.370</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197.509</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80.852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77.8%</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699.0</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5.544</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121.258</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76.574</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74.1%</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690.1</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REWARD-03</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0.4</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5.196</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102.122</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72.496</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77.8%</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706.7</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REWARD-04</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6.263</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224.568</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90.156</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40.7%</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882.6</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REWARD-05</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6.707</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205.138</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91.655</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37.0%</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867.3</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REWARD-06</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0.3</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0.4</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6.652</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221.924</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89.732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48.1%</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873.0</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REWARD-07</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6.467</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285.278</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94.167</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29.6%</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910.7</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REWARD-08</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6.793</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244.635</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93.601</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29.6%</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921.4</w:t>
            </w:r>
          </w:p>
        </w:tc>
      </w:tr>
      <w:tr>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REWARD-09</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0.5</w:t>
            </w:r>
          </w:p>
        </w:tc>
        <w:tc>
          <w:tcPr>
            <w:tcW w:w="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0.4</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w:t>
            </w:r>
          </w:p>
        </w:tc>
        <w:tc>
          <w:tcPr>
            <w:tcW w:w="7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w:t>
            </w:r>
          </w:p>
        </w:tc>
        <w:tc>
          <w:tcPr>
            <w:tcW w:w="10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4.415</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113.958</w:t>
            </w:r>
          </w:p>
        </w:tc>
        <w:tc>
          <w:tcPr>
            <w:tcW w:w="9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88.232</w:t>
            </w:r>
          </w:p>
        </w:tc>
        <w:tc>
          <w:tcPr>
            <w:tcW w:w="85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33.3%</w:t>
            </w:r>
          </w:p>
        </w:tc>
        <w:tc>
          <w:tcPr>
            <w:tcW w:w="87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920.4</w:t>
            </w:r>
          </w:p>
        </w:tc>
      </w:tr>
    </w:tbl>
    <w:p>
      <w:pPr>
        <w:spacing w:before="80" w:after="60" w:line="360" w:lineRule="auto"/>
      </w:pPr>
      <w:r>
        <w:rPr>
          <w:sz w:val="21"/>
          <w:szCs w:val="21"/>
          <w:rFonts w:ascii="Times New Roman" w:hAnsi="Times New Roman" w:eastAsia="SimSun"/>
        </w:rPr>
        <w:t xml:space="preserve"/>
      </w:r>
    </w:p>
    <w:p>
      <w:pPr>
        <w:spacing w:before="80" w:after="80" w:line="360" w:lineRule="auto"/>
      </w:pPr>
      <w:r>
        <w:rPr>
          <w:sz w:val="21"/>
          <w:szCs w:val="21"/>
          <w:rFonts w:ascii="Times New Roman" w:hAnsi="Times New Roman" w:eastAsia="SimSun"/>
        </w:rPr>
        <w:t xml:space="preserve">第二层极差分析表明，local_reward_scale 的 range_R=89.784，为奖励结构中影响最显著的因素；global_reward_scale、lookahead_reward_weight 与 beam_width 依次降低。local_reward_scale 的最佳主效应水平为 0.40，说明动作集层面的局部反馈对 RQL 的学习稳定性具有关键作用。global_reward_scale 的最佳主效应水平为 0.10，表明过强的全局惩罚可能掩盖局部决策差异，降低 Q 表对细粒度调度状态的辨识能力。</w:t>
      </w:r>
    </w:p>
    <w:p>
      <w:pPr>
        <w:spacing w:before="80" w:after="80" w:line="360" w:lineRule="auto"/>
      </w:pPr>
      <w:r>
        <w:rPr>
          <w:sz w:val="21"/>
          <w:szCs w:val="21"/>
          <w:rFonts w:ascii="Times New Roman" w:hAnsi="Times New Roman" w:eastAsia="SimSun"/>
        </w:rPr>
        <w:t xml:space="preserve">值得注意的是，lookahead_reward_weight 与 beam_width 的主效应推荐水平分别为 1.00 与 1，但最优实测组合 REWARD-03 采用 1.50 与 5。这表明奖励前瞻项与最终 beam search 存在一定交互效应：在特定训练参数下，更强的前瞻奖励配合更宽的构解搜索可以提升中等规模实例的解质量。</w:t>
      </w:r>
    </w:p>
    <w:p>
      <w:pPr>
        <w:pStyle w:val="Heading2"/>
        <w:spacing w:before="180" w:after="100" w:line="360" w:lineRule="auto"/>
      </w:pPr>
      <w:r>
        <w:rPr>
          <w:b/>
          <w:sz w:val="25"/>
          <w:szCs w:val="25"/>
          <w:rFonts w:ascii="Times New Roman" w:hAnsi="Times New Roman" w:eastAsia="SimSun"/>
        </w:rPr>
        <w:t xml:space="preserve">4.3 主效应极差汇总</w:t>
      </w:r>
    </w:p>
    <w:tbl>
      <w:tblPr>
        <w:tblW w:w="8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1500"/>
        <w:gridCol w:w="1800"/>
        <w:gridCol w:w="1300"/>
        <w:gridCol w:w="1400"/>
        <w:gridCol w:w="1300"/>
        <w:gridCol w:w="1300"/>
      </w:tblGrid>
      <w:tr>
        <w:tc>
          <w:tcPr>
            <w:tcW w:w="15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阶段</w:t>
            </w:r>
          </w:p>
        </w:tc>
        <w:tc>
          <w:tcPr>
            <w:tcW w:w="18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参数</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最佳主效应值</w:t>
            </w:r>
          </w:p>
        </w:tc>
        <w:tc>
          <w:tcPr>
            <w:tcW w:w="14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最佳 ARPD</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对应 penalty</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range_R</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奖励/构解参数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beam_width</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172.202</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5.831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37.285</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奖励/构解参数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global_reward_scale</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140.296</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5.704</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76.914</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奖励/构解参数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local_reward_scale</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0.4</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146.001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5.421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89.784</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奖励/构解参数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lookahead_reward_weight</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153.261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5.407</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68.095</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训练参数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alpha</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108.290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5.677</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209.181</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训练参数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169.841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6.659</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45.259</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训练参数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epsilon_decay</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188.064</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6.300</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25.911</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训练参数</w:t>
            </w:r>
          </w:p>
        </w:tc>
        <w:tc>
          <w:tcPr>
            <w:tcW w:w="18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gamma</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0.95</w:t>
            </w:r>
          </w:p>
        </w:tc>
        <w:tc>
          <w:tcPr>
            <w:tcW w:w="14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167.333</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6.872</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62.922</w:t>
            </w:r>
          </w:p>
        </w:tc>
      </w:tr>
    </w:tbl>
    <w:p>
      <w:pPr>
        <w:spacing w:before="80" w:after="60" w:line="360" w:lineRule="auto"/>
      </w:pPr>
      <w:r>
        <w:rPr>
          <w:sz w:val="21"/>
          <w:szCs w:val="21"/>
          <w:rFonts w:ascii="Times New Roman" w:hAnsi="Times New Roman" w:eastAsia="SimSun"/>
        </w:rPr>
        <w:t xml:space="preserve"/>
      </w:r>
    </w:p>
    <w:p>
      <w:r>
        <w:br w:type="page"/>
      </w:r>
    </w:p>
    <w:p>
      <w:pPr>
        <w:pStyle w:val="Heading1"/>
        <w:spacing w:before="240" w:after="120" w:line="360" w:lineRule="auto"/>
      </w:pPr>
      <w:r>
        <w:rPr>
          <w:b/>
          <w:sz w:val="30"/>
          <w:szCs w:val="30"/>
          <w:rFonts w:ascii="Times New Roman" w:hAnsi="Times New Roman" w:eastAsia="SimSun"/>
        </w:rPr>
        <w:t xml:space="preserve">5 EP 敏感性分析</w:t>
      </w:r>
    </w:p>
    <w:p>
      <w:pPr>
        <w:spacing w:before="80" w:after="80" w:line="360" w:lineRule="auto"/>
      </w:pPr>
      <w:r>
        <w:rPr>
          <w:sz w:val="21"/>
          <w:szCs w:val="21"/>
          <w:rFonts w:ascii="Times New Roman" w:hAnsi="Times New Roman" w:eastAsia="SimSun"/>
        </w:rPr>
        <w:t xml:space="preserve">在确定训练参数与奖励结构后，对 EP 进行单因素敏感性分析。结果表明，EP=500 的 mean_penalty 与 mean_ARPD 均优于其他候选值；当 EP 从 500 增加到 1000 或 1500 时，收敛率明显提高，但解质量反而下降，说明 Q 表数值收敛并不必然等价于最终调度解更优。</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900"/>
        <w:gridCol w:w="900"/>
        <w:gridCol w:w="1300"/>
        <w:gridCol w:w="1100"/>
        <w:gridCol w:w="1200"/>
        <w:gridCol w:w="1200"/>
        <w:gridCol w:w="1100"/>
        <w:gridCol w:w="1326"/>
      </w:tblGrid>
      <w:tr>
        <w:tc>
          <w:tcPr>
            <w:tcW w:w="9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EP</w:t>
            </w:r>
          </w:p>
        </w:tc>
        <w:tc>
          <w:tcPr>
            <w:tcW w:w="9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案例数</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mean_penalty</w:t>
            </w:r>
          </w:p>
        </w:tc>
        <w:tc>
          <w:tcPr>
            <w:tcW w:w="11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Std</w:t>
            </w:r>
          </w:p>
        </w:tc>
        <w:tc>
          <w:tcPr>
            <w:tcW w:w="12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ARPD</w:t>
            </w:r>
          </w:p>
        </w:tc>
        <w:tc>
          <w:tcPr>
            <w:tcW w:w="12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Time(s)</w:t>
            </w:r>
          </w:p>
        </w:tc>
        <w:tc>
          <w:tcPr>
            <w:tcW w:w="11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收敛率</w:t>
            </w:r>
          </w:p>
        </w:tc>
        <w:tc>
          <w:tcPr>
            <w:tcW w:w="132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平均回合</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200</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3.885</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4.201</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79.032</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25.383</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0.0%</w:t>
            </w:r>
          </w:p>
        </w:tc>
        <w:tc>
          <w:tcPr>
            <w:tcW w:w="1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200.0</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500</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3.604</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4.089</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54.689</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47.814</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18.5%</w:t>
            </w:r>
          </w:p>
        </w:tc>
        <w:tc>
          <w:tcPr>
            <w:tcW w:w="1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475.6</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1000</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5.196</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7.276</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75.034</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72.624</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77.8%</w:t>
            </w:r>
          </w:p>
        </w:tc>
        <w:tc>
          <w:tcPr>
            <w:tcW w:w="1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706.7</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1500</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9</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5.715</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8.086</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84.583</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80.140</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100.0%</w:t>
            </w:r>
          </w:p>
        </w:tc>
        <w:tc>
          <w:tcPr>
            <w:tcW w:w="13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755.1</w:t>
            </w:r>
          </w:p>
        </w:tc>
      </w:tr>
    </w:tbl>
    <w:p>
      <w:pPr>
        <w:spacing w:before="80" w:after="60" w:line="360" w:lineRule="auto"/>
      </w:pPr>
      <w:r>
        <w:rPr>
          <w:sz w:val="21"/>
          <w:szCs w:val="21"/>
          <w:rFonts w:ascii="Times New Roman" w:hAnsi="Times New Roman" w:eastAsia="SimSun"/>
        </w:rPr>
        <w:t xml:space="preserve"/>
      </w:r>
    </w:p>
    <w:p>
      <w:pPr>
        <w:spacing w:before="80" w:after="80" w:line="360" w:lineRule="auto"/>
      </w:pPr>
      <w:r>
        <w:rPr>
          <w:sz w:val="21"/>
          <w:szCs w:val="21"/>
          <w:rFonts w:ascii="Times New Roman" w:hAnsi="Times New Roman" w:eastAsia="SimSun"/>
        </w:rPr>
        <w:t xml:space="preserve">从运行时间看，EP=200 最快但收敛率为 0，训练不足风险较高；EP=1000 与 EP=1500 虽然收敛率更高，但平均惩罚分别升至 5.196 与 5.715。因此，EP=500 是当前中小规模算例上更合理的折中选择。</w:t>
      </w:r>
    </w:p>
    <w:p>
      <w:pPr>
        <w:pStyle w:val="Heading1"/>
        <w:spacing w:before="240" w:after="120" w:line="360" w:lineRule="auto"/>
      </w:pPr>
      <w:r>
        <w:rPr>
          <w:b/>
          <w:sz w:val="30"/>
          <w:szCs w:val="30"/>
          <w:rFonts w:ascii="Times New Roman" w:hAnsi="Times New Roman" w:eastAsia="SimSun"/>
        </w:rPr>
        <w:t xml:space="preserve">6 best_params 与主效应推荐组合的对照验证</w:t>
      </w:r>
    </w:p>
    <w:p>
      <w:pPr>
        <w:spacing w:before="80" w:after="80" w:line="360" w:lineRule="auto"/>
      </w:pPr>
      <w:r>
        <w:rPr>
          <w:sz w:val="21"/>
          <w:szCs w:val="21"/>
          <w:rFonts w:ascii="Times New Roman" w:hAnsi="Times New Roman" w:eastAsia="SimSun"/>
        </w:rPr>
        <w:t xml:space="preserve">由于最优实测组合与主效应推荐组合存在不一致，本报告进一步进行了 RQL-only 的成对验证。验证过程使用相同的 J10、J20、J30 案例、相同 seed=0,1,2，并固定 EP=500，仅比较当前 best_params 与主效应推荐组合。主效应推荐组合相较 best_params 主要调整为 gamma=0.95、lookahead_reward_weight=1.00、beam_width=1。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1500"/>
        <w:gridCol w:w="1500"/>
        <w:gridCol w:w="1500"/>
        <w:gridCol w:w="1300"/>
        <w:gridCol w:w="1000"/>
        <w:gridCol w:w="1000"/>
        <w:gridCol w:w="1226"/>
      </w:tblGrid>
      <w:tr>
        <w:tc>
          <w:tcPr>
            <w:tcW w:w="15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层级</w:t>
            </w:r>
          </w:p>
        </w:tc>
        <w:tc>
          <w:tcPr>
            <w:tcW w:w="15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best_params penalty</w:t>
            </w:r>
          </w:p>
        </w:tc>
        <w:tc>
          <w:tcPr>
            <w:tcW w:w="15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主效应 penalty</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主效应- best</w:t>
            </w:r>
          </w:p>
        </w:tc>
        <w:tc>
          <w:tcPr>
            <w:tcW w:w="10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best 胜</w:t>
            </w:r>
          </w:p>
        </w:tc>
        <w:tc>
          <w:tcPr>
            <w:tcW w:w="10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主效应胜</w:t>
            </w:r>
          </w:p>
        </w:tc>
        <w:tc>
          <w:tcPr>
            <w:tcW w:w="122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平局</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run_level</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3.604</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4.426</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0.822</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14</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w:t>
            </w:r>
          </w:p>
        </w:tc>
        <w:tc>
          <w:tcPr>
            <w:tcW w:w="1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instance_level</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3.604</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4.426</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0.822</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w:t>
            </w:r>
          </w:p>
        </w:tc>
        <w:tc>
          <w:tcPr>
            <w:tcW w:w="1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w:t>
            </w:r>
          </w:p>
        </w:tc>
      </w:tr>
      <w:tr>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scale_level_AOTV</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3.604</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4.426</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0.822</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w:t>
            </w:r>
          </w:p>
        </w:tc>
        <w:tc>
          <w:tcPr>
            <w:tcW w:w="10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w:t>
            </w:r>
          </w:p>
        </w:tc>
        <w:tc>
          <w:tcPr>
            <w:tcW w:w="1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w:t>
            </w:r>
          </w:p>
        </w:tc>
      </w:tr>
    </w:tbl>
    <w:p>
      <w:pPr>
        <w:spacing w:before="80" w:after="60" w:line="360" w:lineRule="auto"/>
      </w:pPr>
      <w:r>
        <w:rPr>
          <w:sz w:val="21"/>
          <w:szCs w:val="21"/>
          <w:rFonts w:ascii="Times New Roman" w:hAnsi="Times New Roman" w:eastAsia="SimSun"/>
        </w:rPr>
        <w:t xml:space="preserve"/>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900"/>
        <w:gridCol w:w="1100"/>
        <w:gridCol w:w="1200"/>
        <w:gridCol w:w="900"/>
        <w:gridCol w:w="1100"/>
        <w:gridCol w:w="1300"/>
        <w:gridCol w:w="1300"/>
        <w:gridCol w:w="1226"/>
      </w:tblGrid>
      <w:tr>
        <w:tc>
          <w:tcPr>
            <w:tcW w:w="9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规模</w:t>
            </w:r>
          </w:p>
        </w:tc>
        <w:tc>
          <w:tcPr>
            <w:tcW w:w="11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best AOTV</w:t>
            </w:r>
          </w:p>
        </w:tc>
        <w:tc>
          <w:tcPr>
            <w:tcW w:w="12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主效应 AOTV</w:t>
            </w:r>
          </w:p>
        </w:tc>
        <w:tc>
          <w:tcPr>
            <w:tcW w:w="9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差值</w:t>
            </w:r>
          </w:p>
        </w:tc>
        <w:tc>
          <w:tcPr>
            <w:tcW w:w="11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相对变化</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best Time(s)</w:t>
            </w:r>
          </w:p>
        </w:tc>
        <w:tc>
          <w:tcPr>
            <w:tcW w:w="1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主效应 Time(s)</w:t>
            </w:r>
          </w:p>
        </w:tc>
        <w:tc>
          <w:tcPr>
            <w:tcW w:w="122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结论</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J10</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1.378</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1.544</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0.167</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12.1%</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13.015</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11.094</w:t>
            </w:r>
          </w:p>
        </w:tc>
        <w:tc>
          <w:tcPr>
            <w:tcW w:w="1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best_params</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J20</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1.800</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1.700</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-0.100</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-5.6%</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37.853</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40.033</w:t>
            </w:r>
          </w:p>
        </w:tc>
        <w:tc>
          <w:tcPr>
            <w:tcW w:w="1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主效应</w:t>
            </w:r>
          </w:p>
        </w:tc>
      </w:tr>
      <w:tr>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J30</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7.633</w:t>
            </w:r>
          </w:p>
        </w:tc>
        <w:tc>
          <w:tcPr>
            <w:tcW w:w="12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10.033</w:t>
            </w:r>
          </w:p>
        </w:tc>
        <w:tc>
          <w:tcPr>
            <w:tcW w:w="9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2.400</w:t>
            </w:r>
          </w:p>
        </w:tc>
        <w:tc>
          <w:tcPr>
            <w:tcW w:w="11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31.4%</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158.348</w:t>
            </w:r>
          </w:p>
        </w:tc>
        <w:tc>
          <w:tcPr>
            <w:tcW w:w="1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154.243</w:t>
            </w:r>
          </w:p>
        </w:tc>
        <w:tc>
          <w:tcPr>
            <w:tcW w:w="1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best_params</w:t>
            </w:r>
          </w:p>
        </w:tc>
      </w:tr>
    </w:tbl>
    <w:p>
      <w:pPr>
        <w:spacing w:before="80" w:after="60" w:line="360" w:lineRule="auto"/>
      </w:pPr>
      <w:r>
        <w:rPr>
          <w:sz w:val="21"/>
          <w:szCs w:val="21"/>
          <w:rFonts w:ascii="Times New Roman" w:hAnsi="Times New Roman" w:eastAsia="SimSun"/>
        </w:rPr>
        <w:t xml:space="preserve"/>
      </w:r>
    </w:p>
    <w:p>
      <w:pPr>
        <w:spacing w:before="80" w:after="80" w:line="360" w:lineRule="auto"/>
      </w:pPr>
      <w:r>
        <w:rPr>
          <w:sz w:val="21"/>
          <w:szCs w:val="21"/>
          <w:rFonts w:ascii="Times New Roman" w:hAnsi="Times New Roman" w:eastAsia="SimSun"/>
        </w:rPr>
        <w:t xml:space="preserve">验证结果显示，best_params 的整体 mean_penalty 为 3.604，而主效应推荐组合为 4.426，主效应组合平均高出 0.822。在 run-level 成对比较中，best_params 胜出 14 次，主效应组合胜出 8 次，平局 5 次；在 scale-level 上，best_params 在 J10 与 J30 胜出，主效应组合仅在 J20 上略优。尤其在 J30 上，主效应组合 AOTV 为 10.033，较 best_params 的 7.633 高 31.4%，说明较高 gamma、更强前瞻奖励与更宽 beam search 对中等规模实例更有价值。</w:t>
      </w:r>
    </w:p>
    <w:p>
      <w:pPr>
        <w:pStyle w:val="Heading1"/>
        <w:spacing w:before="240" w:after="120" w:line="360" w:lineRule="auto"/>
      </w:pPr>
      <w:r>
        <w:rPr>
          <w:b/>
          <w:sz w:val="30"/>
          <w:szCs w:val="30"/>
          <w:rFonts w:ascii="Times New Roman" w:hAnsi="Times New Roman" w:eastAsia="SimSun"/>
        </w:rPr>
        <w:t xml:space="preserve">7 推荐定参与解释</w:t>
      </w:r>
    </w:p>
    <w:p>
      <w:pPr>
        <w:spacing w:before="80" w:after="80" w:line="360" w:lineRule="auto"/>
      </w:pPr>
      <w:r>
        <w:rPr>
          <w:sz w:val="21"/>
          <w:szCs w:val="21"/>
          <w:rFonts w:ascii="Times New Roman" w:hAnsi="Times New Roman" w:eastAsia="SimSun"/>
        </w:rPr>
        <w:t xml:space="preserve">综合正交实验、EP 敏感性分析与主效应验证，建议正式实验采用 TRAINING-09+REWARD-03+EP=500 得到的 best_params。该组合不是简单主效应最优水平的拼接，而是在实际 L9 组合测试中表现最优，并经主效应组合对照验证后仍保持整体优势。</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noHBand="0" w:noVBand="1"/>
      </w:tblPr>
      <w:tblGrid>
        <w:gridCol w:w="2300"/>
        <w:gridCol w:w="1500"/>
        <w:gridCol w:w="5226"/>
      </w:tblGrid>
      <w:tr>
        <w:tc>
          <w:tcPr>
            <w:tcW w:w="23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参数</w:t>
            </w:r>
          </w:p>
        </w:tc>
        <w:tc>
          <w:tcPr>
            <w:tcW w:w="1500"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推荐值</w:t>
            </w:r>
          </w:p>
        </w:tc>
        <w:tc>
          <w:tcPr>
            <w:tcW w:w="5226" w:type="dxa"/>
            <w:shd w:fill="D9EAF7"/>
            <w:vAlign w:val="center"/>
            <w:tcMar>
              <w:top w:w="80" w:type="dxa"/>
              <w:bottom w:w="80" w:type="dxa"/>
              <w:left w:w="100" w:type="dxa"/>
              <w:right w:w="100" w:type="dxa"/>
            </w:tcMar>
          </w:tcPr>
          <w:p>
            <w:pPr>
              <w:spacing w:before="0" w:after="0" w:line="360" w:lineRule="auto"/>
            </w:pPr>
            <w:r>
              <w:rPr>
                <w:b/>
                <w:sz w:val="18"/>
                <w:szCs w:val="18"/>
                <w:rFonts w:ascii="Times New Roman" w:hAnsi="Times New Roman" w:eastAsia="SimSun"/>
              </w:rPr>
              <w:t xml:space="preserve">说明</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max_rollouts</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500</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最大训练回合数 EP</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alpha</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Q-learning 学习率</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gamma</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未来收益折扣因子</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0.2</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初始探索率</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epsilon_decay</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0.99</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探索率衰减系数</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epsilon_min</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0.02</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最小探索率</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global_reward_scale</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全局延误奖励权重</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local_reward_scale</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0.4</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动作集局部奖励权重</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immediate_reward_weight</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即时奖励权重</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lookahead_reward_weight</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1.5</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cost-to-go 前瞻奖励权重</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lookahead_clip</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1.0</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前瞻奖励裁剪范围</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q_distinction_threshold</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1e-09</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最终构解 Q 值区分阈值</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beam_width</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5</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最终 beam search 宽度</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beam_branch_limit</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8</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 节点最大扩展动作数</w:t>
            </w:r>
          </w:p>
        </w:tc>
      </w:tr>
      <w:tr>
        <w:tc>
          <w:tcPr>
            <w:tcW w:w="23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beam_improvement_margin</w:t>
            </w:r>
          </w:p>
        </w:tc>
        <w:tc>
          <w:tcPr>
            <w:tcW w:w="1500"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0.1</w:t>
            </w:r>
          </w:p>
        </w:tc>
        <w:tc>
          <w:tcPr>
            <w:tcW w:w="5226" w:type="dxa"/>
            <w:vAlign w:val="center"/>
            <w:tcMar>
              <w:top w:w="80" w:type="dxa"/>
              <w:bottom w:w="80" w:type="dxa"/>
              <w:left w:w="100" w:type="dxa"/>
              <w:right w:w="100" w:type="dxa"/>
            </w:tcMar>
          </w:tcPr>
          <w:p>
            <w:pPr>
              <w:spacing w:before="0" w:after="0" w:line="360" w:lineRule="auto"/>
            </w:pPr>
            <w:r>
              <w:rPr>
                <w:sz w:val="18"/>
                <w:szCs w:val="18"/>
                <w:rFonts w:ascii="Times New Roman" w:hAnsi="Times New Roman" w:eastAsia="SimSun"/>
              </w:rPr>
              <w:t xml:space="preserve">beam 相对贪心的最小改进阈值</w:t>
            </w:r>
          </w:p>
        </w:tc>
      </w:tr>
    </w:tbl>
    <w:p>
      <w:pPr>
        <w:spacing w:before="80" w:after="60" w:line="360" w:lineRule="auto"/>
      </w:pPr>
      <w:r>
        <w:rPr>
          <w:sz w:val="21"/>
          <w:szCs w:val="21"/>
          <w:rFonts w:ascii="Times New Roman" w:hAnsi="Times New Roman" w:eastAsia="SimSun"/>
        </w:rPr>
        <w:t xml:space="preserve"/>
      </w:r>
    </w:p>
    <w:p>
      <w:pPr>
        <w:spacing w:before="80" w:after="80" w:line="360" w:lineRule="auto"/>
      </w:pPr>
      <w:r>
        <w:rPr>
          <w:sz w:val="21"/>
          <w:szCs w:val="21"/>
          <w:rFonts w:ascii="Times New Roman" w:hAnsi="Times New Roman" w:eastAsia="SimSun"/>
        </w:rPr>
        <w:t xml:space="preserve">从机理上看，alpha=0.20 提高了有限训练预算下 Q 表的更新效率；gamma=0.99 保留了对未来调度影响的敏感性，适合存在紧前紧后约束和里程碑延误传播的动态调度场景；epsilon=0.20 与 epsilon_decay=0.99 使算法在早期保持适度探索，并较快转入利用阶段；local_reward_scale=0.40 与 lookahead_reward_weight=1.50 强化了局部动作集质量和前瞻 cost-to-go 信息；beam_width=5 则在最终构解阶段降低贪心误选风险。</w:t>
      </w:r>
    </w:p>
    <w:p>
      <w:pPr>
        <w:pStyle w:val="Heading1"/>
        <w:spacing w:before="240" w:after="120" w:line="360" w:lineRule="auto"/>
      </w:pPr>
      <w:r>
        <w:rPr>
          <w:b/>
          <w:sz w:val="30"/>
          <w:szCs w:val="30"/>
          <w:rFonts w:ascii="Times New Roman" w:hAnsi="Times New Roman" w:eastAsia="SimSun"/>
        </w:rPr>
        <w:t xml:space="preserve">8 局限性与后续实验建议</w:t>
      </w:r>
    </w:p>
    <w:p>
      <w:pPr>
        <w:spacing w:before="80" w:after="80" w:line="360" w:lineRule="auto"/>
      </w:pPr>
      <w:r>
        <w:rPr>
          <w:sz w:val="21"/>
          <w:szCs w:val="21"/>
          <w:rFonts w:ascii="Times New Roman" w:hAnsi="Times New Roman" w:eastAsia="SimSun"/>
        </w:rPr>
        <w:t xml:space="preserve">第一，本次正交实验采用 J10、J20、J30 各 3 个案例和 3 个随机种子，适合作为调参阶段依据，但不应直接替代正式论文实验。正式比较仍应在更多案例和更多 seed 上评估 RQL、QL、RH 及启发式基线。第二，J60 至 J120 大规模案例暂未纳入正交实验，因此 best_params 在大规模场景上的迁移性仍需通过抽样验证确认。第三，ARPD 在最佳已知 penalty 为 0 的案例上可能产生相对误差放大，论文写作中应同时报告 penalty、AOTV 与 Best，避免单一指标误导。</w:t>
      </w:r>
    </w:p>
    <w:p>
      <w:pPr>
        <w:spacing w:before="80" w:after="80" w:line="360" w:lineRule="auto"/>
      </w:pPr>
      <w:r>
        <w:rPr>
          <w:sz w:val="21"/>
          <w:szCs w:val="21"/>
          <w:rFonts w:ascii="Times New Roman" w:hAnsi="Times New Roman" w:eastAsia="SimSun"/>
        </w:rPr>
        <w:t xml:space="preserve">建议下一步将上述 best_params 固化为 RQL 的正式参数，并在 experiment_suite.py 中对 MPV-SLK-EFT、MXS+MF、SLK-EFT、SPT、ECT、FIFO、QL、RH 与 RQL 进行统一对比。若大规模算例运行时间仍过高，可采用分阶段策略：先在 J10、J20、J30 上完整运行 20 个案例与 10 个 seed，再在 J60、J90、J120 上采用较少 seed 或抽样案例进行稳健性补充。</w:t>
      </w: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style w:type="paragraph" w:default="1" w:styleId="Normal">
    <w:name w:val="Normal"/>
    <w:qFormat/>
    <w:pPr>
      <w:spacing w:line="360" w:lineRule="auto"/>
    </w:pPr>
    <w:rPr>
      <w:rFonts w:ascii="Times New Roman" w:hAnsi="Times New Roman" w:eastAsia="SimSun"/>
      <w:sz w:val="21"/>
      <w:szCs w:val="21"/>
    </w:rPr>
  </w:style>
  <w:style w:type="paragraph" w:styleId="Heading1">
    <w:name w:val="heading 1"/>
    <w:basedOn w:val="Normal"/>
    <w:next w:val="Normal"/>
    <w:qFormat/>
    <w:pPr>
      <w:outlineLvl w:val="0"/>
      <w:spacing w:before="240" w:after="120"/>
    </w:pPr>
    <w:rPr>
      <w:b/>
      <w:rFonts w:ascii="Times New Roman" w:hAnsi="Times New Roman" w:eastAsia="SimHei"/>
      <w:sz w:val="30"/>
      <w:szCs w:val="30"/>
    </w:rPr>
  </w:style>
  <w:style w:type="paragraph" w:styleId="Heading2">
    <w:name w:val="heading 2"/>
    <w:basedOn w:val="Normal"/>
    <w:next w:val="Normal"/>
    <w:qFormat/>
    <w:pPr>
      <w:outlineLvl w:val="1"/>
      <w:spacing w:before="180" w:after="100"/>
    </w:pPr>
    <w:rPr>
      <w:b/>
      <w:rFonts w:ascii="Times New Roman" w:hAnsi="Times New Roman" w:eastAsia="SimHei"/>
      <w:sz w:val="25"/>
      <w:szCs w:val="2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RQL 参数正交实验结果分析</dc:title>
  <dc:subject>Rollout-Q-learning dynamic scheduling orthogonal experiment</dc:subject>
  <dc:creator>Codex</dc:creator>
  <cp:lastModifiedBy>Codex</cp:lastModifiedBy>
  <dcterms:created xsi:type="dcterms:W3CDTF">2026-05-03T09:24:02Z</dcterms:created>
  <dcterms:modified xsi:type="dcterms:W3CDTF">2026-05-03T09:24:02Z</dcterms:modified>
</cp:coreProperties>
</file>