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3B3B" w14:textId="77777777" w:rsidR="00E06F49" w:rsidRPr="006F738D" w:rsidRDefault="00E06F49" w:rsidP="00E06F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F738D">
        <w:rPr>
          <w:rFonts w:ascii="Times New Roman" w:hAnsi="Times New Roman" w:cs="Times New Roman"/>
        </w:rPr>
        <w:t>FRONT MATTER (SLIDES 1–14)</w:t>
      </w:r>
    </w:p>
    <w:p w14:paraId="3ED40719"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eastAsia="Times New Roman" w:hAnsi="Times New Roman" w:cs="Times New Roman"/>
          <w:b/>
          <w:bCs/>
          <w:kern w:val="0"/>
          <w14:ligatures w14:val="none"/>
        </w:rPr>
        <w:t>Slide 1 — Title slide</w:t>
      </w:r>
    </w:p>
    <w:p w14:paraId="67211A8E" w14:textId="77777777" w:rsidR="00E97944" w:rsidRPr="006F738D" w:rsidRDefault="00E97944" w:rsidP="00E9794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F738D">
        <w:rPr>
          <w:rFonts w:ascii="Times New Roman" w:eastAsia="Times New Roman" w:hAnsi="Times New Roman" w:cs="Times New Roman"/>
          <w:b/>
          <w:bCs/>
          <w:kern w:val="36"/>
          <w14:ligatures w14:val="none"/>
        </w:rPr>
        <w:t>ADAPTIVE LEADERSHIP AND STRATEGIC FORESIGHT — CASE STUDIES AND EXERCISES</w:t>
      </w:r>
    </w:p>
    <w:p w14:paraId="7C049692" w14:textId="77777777" w:rsidR="00C22E07" w:rsidRPr="006F738D" w:rsidRDefault="00C22E07" w:rsidP="00E9794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F738D">
        <w:rPr>
          <w:rFonts w:ascii="Times New Roman" w:hAnsi="Times New Roman" w:cs="Times New Roman"/>
          <w:color w:val="0F1115"/>
        </w:rPr>
        <w:t>The Nigerian Institute of Management (NIM) Chartered</w:t>
      </w:r>
    </w:p>
    <w:p w14:paraId="571148D6" w14:textId="77777777" w:rsidR="00E97944" w:rsidRPr="006F738D" w:rsidRDefault="00E97944" w:rsidP="00E97944">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6F738D">
        <w:rPr>
          <w:rFonts w:ascii="Times New Roman" w:eastAsia="Times New Roman" w:hAnsi="Times New Roman" w:cs="Times New Roman"/>
          <w:kern w:val="0"/>
          <w14:ligatures w14:val="none"/>
        </w:rPr>
        <w:t xml:space="preserve">2nd Edition: 2026 Board Leadership Summit — </w:t>
      </w:r>
      <w:r w:rsidRPr="006F738D">
        <w:rPr>
          <w:rFonts w:ascii="Times New Roman" w:eastAsia="Times New Roman" w:hAnsi="Times New Roman" w:cs="Times New Roman"/>
          <w:i/>
          <w:iCs/>
          <w:kern w:val="0"/>
          <w14:ligatures w14:val="none"/>
        </w:rPr>
        <w:t>The Board of Tomorrow: Agility, Ethics and Impact</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i/>
          <w:iCs/>
          <w:kern w:val="0"/>
          <w14:ligatures w14:val="none"/>
        </w:rPr>
        <w:t>Foresight, Agility and the Board of Tomorrow — Imperatives for the Board Chair and CEO</w:t>
      </w:r>
    </w:p>
    <w:p w14:paraId="4D2425DD" w14:textId="77777777" w:rsidR="00E97944" w:rsidRPr="006F738D" w:rsidRDefault="00E97944" w:rsidP="00E9794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eastAsia="Times New Roman" w:hAnsi="Times New Roman" w:cs="Times New Roman"/>
          <w:i/>
          <w:iCs/>
          <w:kern w:val="0"/>
          <w14:ligatures w14:val="none"/>
        </w:rPr>
        <w:t>- The evidence and the practice."</w:t>
      </w:r>
      <w:r w:rsidRPr="006F738D">
        <w:rPr>
          <w:rFonts w:ascii="Times New Roman" w:eastAsia="Times New Roman" w:hAnsi="Times New Roman" w:cs="Times New Roman"/>
          <w:kern w:val="0"/>
          <w14:ligatures w14:val="none"/>
        </w:rPr>
        <w:br/>
        <w:t xml:space="preserve">Monday 2 – Friday 6 November 2026 · </w:t>
      </w:r>
      <w:r w:rsidRPr="006F738D">
        <w:rPr>
          <w:rFonts w:ascii="Times New Roman" w:eastAsia="Times New Roman" w:hAnsi="Times New Roman" w:cs="Times New Roman"/>
          <w:b/>
          <w:bCs/>
          <w:kern w:val="0"/>
          <w14:ligatures w14:val="none"/>
        </w:rPr>
        <w:t>Venue:</w:t>
      </w:r>
      <w:r w:rsidRPr="006F738D">
        <w:rPr>
          <w:rFonts w:ascii="Times New Roman" w:eastAsia="Times New Roman" w:hAnsi="Times New Roman" w:cs="Times New Roman"/>
          <w:kern w:val="0"/>
          <w14:ligatures w14:val="none"/>
        </w:rPr>
        <w:t xml:space="preserve"> </w:t>
      </w:r>
      <w:proofErr w:type="spellStart"/>
      <w:r w:rsidRPr="006F738D">
        <w:rPr>
          <w:rFonts w:ascii="Times New Roman" w:eastAsia="Times New Roman" w:hAnsi="Times New Roman" w:cs="Times New Roman"/>
          <w:kern w:val="0"/>
          <w14:ligatures w14:val="none"/>
        </w:rPr>
        <w:t>Ramala</w:t>
      </w:r>
      <w:proofErr w:type="spellEnd"/>
      <w:r w:rsidRPr="006F738D">
        <w:rPr>
          <w:rFonts w:ascii="Times New Roman" w:eastAsia="Times New Roman" w:hAnsi="Times New Roman" w:cs="Times New Roman"/>
          <w:kern w:val="0"/>
          <w14:ligatures w14:val="none"/>
        </w:rPr>
        <w:t xml:space="preserve"> Addis Hotel, Addis Ababa, Ethiopia</w:t>
      </w:r>
      <w:r w:rsidRPr="006F738D">
        <w:rPr>
          <w:rFonts w:ascii="Times New Roman" w:eastAsia="Times New Roman" w:hAnsi="Times New Roman" w:cs="Times New Roman"/>
          <w:kern w:val="0"/>
          <w14:ligatures w14:val="none"/>
        </w:rPr>
        <w:br/>
        <w:t>Professor Taiwo Asaolu, Ph.D., FCA — Vice-Chancellor, University of Ilesa, Ilesa, Osun State, Nigeria</w:t>
      </w:r>
    </w:p>
    <w:p w14:paraId="7ECD6D3E" w14:textId="77777777" w:rsidR="002C413E" w:rsidRPr="006F738D" w:rsidRDefault="00000000">
      <w:pPr>
        <w:pStyle w:val="Heading1"/>
        <w:rPr>
          <w:rFonts w:ascii="Times New Roman" w:hAnsi="Times New Roman" w:cs="Times New Roman"/>
          <w:sz w:val="24"/>
          <w:szCs w:val="24"/>
        </w:rPr>
      </w:pPr>
      <w:r w:rsidRPr="006F738D">
        <w:rPr>
          <w:rFonts w:ascii="Times New Roman" w:hAnsi="Times New Roman" w:cs="Times New Roman"/>
          <w:sz w:val="24"/>
          <w:szCs w:val="24"/>
        </w:rPr>
        <w:t>SLIDE 2 — CONCEPTUAL FOUNDATIONS OF ADAPTIVE LEADERSHIP</w:t>
      </w:r>
    </w:p>
    <w:p w14:paraId="29E4DB30" w14:textId="77777777" w:rsidR="002C413E" w:rsidRPr="006F738D" w:rsidRDefault="00000000">
      <w:pPr>
        <w:pStyle w:val="Heading2"/>
        <w:rPr>
          <w:rFonts w:ascii="Times New Roman" w:hAnsi="Times New Roman" w:cs="Times New Roman"/>
          <w:sz w:val="24"/>
          <w:szCs w:val="24"/>
        </w:rPr>
      </w:pPr>
      <w:r w:rsidRPr="006F738D">
        <w:rPr>
          <w:rFonts w:ascii="Times New Roman" w:hAnsi="Times New Roman" w:cs="Times New Roman"/>
          <w:sz w:val="24"/>
          <w:szCs w:val="24"/>
        </w:rPr>
        <w:t>What is adaptive leadership?</w:t>
      </w:r>
    </w:p>
    <w:p w14:paraId="4BB9770F" w14:textId="77777777" w:rsidR="002C413E" w:rsidRPr="006F738D" w:rsidRDefault="00000000">
      <w:pPr>
        <w:rPr>
          <w:rFonts w:ascii="Times New Roman" w:hAnsi="Times New Roman" w:cs="Times New Roman"/>
        </w:rPr>
      </w:pPr>
      <w:r w:rsidRPr="006F738D">
        <w:rPr>
          <w:rFonts w:ascii="Times New Roman" w:hAnsi="Times New Roman" w:cs="Times New Roman"/>
        </w:rPr>
        <w:t>Adaptive leadership, conceptualised by Ronald Heifetz, Marty Linsky, and Alexander Grashow at Harvard Kennedy School, is the practice of mobilising people to tackle difficult challenges and thrive in complex, changing environments (Heifetz &amp; Linsky, 2009).</w:t>
      </w:r>
    </w:p>
    <w:p w14:paraId="25196440" w14:textId="77777777" w:rsidR="002C413E" w:rsidRPr="006F738D" w:rsidRDefault="00000000">
      <w:pPr>
        <w:rPr>
          <w:rFonts w:ascii="Times New Roman" w:hAnsi="Times New Roman" w:cs="Times New Roman"/>
        </w:rPr>
      </w:pPr>
      <w:r w:rsidRPr="006F738D">
        <w:rPr>
          <w:rFonts w:ascii="Times New Roman" w:hAnsi="Times New Roman" w:cs="Times New Roman"/>
        </w:rPr>
        <w:t>It does not mean that the leader must have every answer. Instead, the leader creates the conditions in which the organisation can discover answers that do not yet exist—and then act on them.</w:t>
      </w:r>
    </w:p>
    <w:p w14:paraId="5A27B102" w14:textId="77777777" w:rsidR="002C413E" w:rsidRPr="006F738D" w:rsidRDefault="00000000">
      <w:pPr>
        <w:pStyle w:val="Heading1"/>
        <w:rPr>
          <w:rFonts w:ascii="Times New Roman" w:hAnsi="Times New Roman" w:cs="Times New Roman"/>
          <w:sz w:val="24"/>
          <w:szCs w:val="24"/>
        </w:rPr>
      </w:pPr>
      <w:r w:rsidRPr="006F738D">
        <w:rPr>
          <w:rFonts w:ascii="Times New Roman" w:hAnsi="Times New Roman" w:cs="Times New Roman"/>
          <w:sz w:val="24"/>
          <w:szCs w:val="24"/>
        </w:rPr>
        <w:t>SLIDE 3 — TECHNICAL PROBLEMS AND ADAPTIVE CHALLENGES</w:t>
      </w:r>
    </w:p>
    <w:p w14:paraId="3FBE77B0" w14:textId="77777777" w:rsidR="002C413E" w:rsidRPr="006F738D" w:rsidRDefault="00000000">
      <w:pPr>
        <w:pStyle w:val="Heading2"/>
        <w:rPr>
          <w:rFonts w:ascii="Times New Roman" w:hAnsi="Times New Roman" w:cs="Times New Roman"/>
          <w:sz w:val="24"/>
          <w:szCs w:val="24"/>
        </w:rPr>
      </w:pPr>
      <w:r w:rsidRPr="006F738D">
        <w:rPr>
          <w:rFonts w:ascii="Times New Roman" w:hAnsi="Times New Roman" w:cs="Times New Roman"/>
          <w:sz w:val="24"/>
          <w:szCs w:val="24"/>
        </w:rPr>
        <w:t>The central distinction: technical problems and adaptive challenges</w:t>
      </w:r>
    </w:p>
    <w:p w14:paraId="09026C3D" w14:textId="77777777" w:rsidR="002C413E" w:rsidRPr="006F738D" w:rsidRDefault="00000000">
      <w:pPr>
        <w:rPr>
          <w:rFonts w:ascii="Times New Roman" w:hAnsi="Times New Roman" w:cs="Times New Roman"/>
        </w:rPr>
      </w:pPr>
      <w:r w:rsidRPr="006F738D">
        <w:rPr>
          <w:rFonts w:ascii="Times New Roman" w:hAnsi="Times New Roman" w:cs="Times New Roman"/>
        </w:rPr>
        <w:t>Technical problems have known solutions. Examples include a supply-chain bottleneck, a regulatory compliance gap, or a budget shortfall. These problems may be serious, but they can usually be addressed through existing expertise, tools, procedures, and authority structures. They are well-defined, expert-driven, and stability-focused.</w:t>
      </w:r>
    </w:p>
    <w:p w14:paraId="3CFF16B5" w14:textId="77777777" w:rsidR="002C413E" w:rsidRPr="006F738D" w:rsidRDefault="00000000">
      <w:pPr>
        <w:rPr>
          <w:rFonts w:ascii="Times New Roman" w:hAnsi="Times New Roman" w:cs="Times New Roman"/>
        </w:rPr>
      </w:pPr>
      <w:r w:rsidRPr="006F738D">
        <w:rPr>
          <w:rFonts w:ascii="Times New Roman" w:hAnsi="Times New Roman" w:cs="Times New Roman"/>
        </w:rPr>
        <w:t>Adaptive challenges are less clearly defined and cannot be resolved simply by applying existing expertise. They require people across the organisation to reconsider values, beliefs, relationships, and behaviours. They often involve competing priorities, system-wide effects, and the active engagement of stakeholders (Heifetz et al., 2009).</w:t>
      </w:r>
    </w:p>
    <w:p w14:paraId="21170096" w14:textId="77777777" w:rsidR="002C413E" w:rsidRPr="006F738D" w:rsidRDefault="00000000">
      <w:pPr>
        <w:rPr>
          <w:rFonts w:ascii="Times New Roman" w:hAnsi="Times New Roman" w:cs="Times New Roman"/>
        </w:rPr>
      </w:pPr>
      <w:r w:rsidRPr="006F738D">
        <w:rPr>
          <w:rFonts w:ascii="Times New Roman" w:hAnsi="Times New Roman" w:cs="Times New Roman"/>
        </w:rPr>
        <w:lastRenderedPageBreak/>
        <w:t>For example, when a Nigerian bank moves from branch-centred service to a digital-first model, the challenge is not just installing new technology. Staff roles, customer expectations, decision-making, organisational culture, and ways of working may also need to change.</w:t>
      </w:r>
    </w:p>
    <w:p w14:paraId="0A7E4460" w14:textId="77777777" w:rsidR="002C413E" w:rsidRPr="006F738D" w:rsidRDefault="00000000">
      <w:pPr>
        <w:rPr>
          <w:rFonts w:ascii="Times New Roman" w:hAnsi="Times New Roman" w:cs="Times New Roman"/>
        </w:rPr>
      </w:pPr>
      <w:r w:rsidRPr="006F738D">
        <w:rPr>
          <w:rFonts w:ascii="Times New Roman" w:hAnsi="Times New Roman" w:cs="Times New Roman"/>
        </w:rPr>
        <w:t>Key insight for Nigerian leaders: technical problems can often be solved; adaptive challenges must be navigated. Technical problems call for expertise. Adaptive challenges call for leadership.</w:t>
      </w:r>
    </w:p>
    <w:p w14:paraId="2911CE19" w14:textId="77777777" w:rsidR="002C413E" w:rsidRPr="006F738D" w:rsidRDefault="00000000">
      <w:pPr>
        <w:rPr>
          <w:rFonts w:ascii="Times New Roman" w:hAnsi="Times New Roman" w:cs="Times New Roman"/>
        </w:rPr>
      </w:pPr>
      <w:r w:rsidRPr="006F738D">
        <w:rPr>
          <w:rFonts w:ascii="Times New Roman" w:hAnsi="Times New Roman" w:cs="Times New Roman"/>
        </w:rPr>
        <w:t>Many governance failures occur not because leaders lack intelligence, but because they treat an adaptive challenge as if it were a technical problem—and expect a technical fix to resolve a deeper organisational issue.</w:t>
      </w:r>
    </w:p>
    <w:p w14:paraId="2B1C69E7" w14:textId="77777777" w:rsidR="002C413E" w:rsidRPr="006F738D" w:rsidRDefault="00000000">
      <w:pPr>
        <w:rPr>
          <w:rFonts w:ascii="Times New Roman" w:hAnsi="Times New Roman" w:cs="Times New Roman"/>
        </w:rPr>
      </w:pPr>
      <w:r w:rsidRPr="006F738D">
        <w:rPr>
          <w:rFonts w:ascii="Times New Roman" w:hAnsi="Times New Roman" w:cs="Times New Roman"/>
        </w:rPr>
        <w:t>Facilitator prompt: Think of a major change in your organisation. Which parts were technical, and which required people to change their assumptions or behaviour?</w:t>
      </w:r>
    </w:p>
    <w:p w14:paraId="7C178E11" w14:textId="77777777" w:rsidR="002C413E" w:rsidRPr="006F738D" w:rsidRDefault="00000000">
      <w:pPr>
        <w:rPr>
          <w:rFonts w:ascii="Times New Roman" w:hAnsi="Times New Roman" w:cs="Times New Roman"/>
        </w:rPr>
      </w:pPr>
      <w:r w:rsidRPr="006F738D">
        <w:rPr>
          <w:rFonts w:ascii="Times New Roman" w:hAnsi="Times New Roman" w:cs="Times New Roman"/>
        </w:rPr>
        <w:t>Source: Heifetz &amp; Linsky (2009); Heifetz et al. (2009).</w:t>
      </w:r>
    </w:p>
    <w:p w14:paraId="2EB2297F" w14:textId="77777777" w:rsidR="002C413E" w:rsidRPr="006F738D" w:rsidRDefault="00000000">
      <w:pPr>
        <w:pStyle w:val="Heading1"/>
        <w:rPr>
          <w:rFonts w:ascii="Times New Roman" w:hAnsi="Times New Roman" w:cs="Times New Roman"/>
          <w:sz w:val="24"/>
          <w:szCs w:val="24"/>
        </w:rPr>
      </w:pPr>
      <w:r w:rsidRPr="006F738D">
        <w:rPr>
          <w:rFonts w:ascii="Times New Roman" w:hAnsi="Times New Roman" w:cs="Times New Roman"/>
          <w:sz w:val="24"/>
          <w:szCs w:val="24"/>
        </w:rPr>
        <w:t>SLIDE 4 — DIAGNOSING THE CHALLENGE</w:t>
      </w:r>
    </w:p>
    <w:p w14:paraId="03EEC8C7" w14:textId="77777777" w:rsidR="002C413E" w:rsidRPr="006F738D" w:rsidRDefault="00000000">
      <w:pPr>
        <w:pStyle w:val="Heading2"/>
        <w:rPr>
          <w:rFonts w:ascii="Times New Roman" w:hAnsi="Times New Roman" w:cs="Times New Roman"/>
          <w:sz w:val="24"/>
          <w:szCs w:val="24"/>
        </w:rPr>
      </w:pPr>
      <w:r w:rsidRPr="006F738D">
        <w:rPr>
          <w:rFonts w:ascii="Times New Roman" w:hAnsi="Times New Roman" w:cs="Times New Roman"/>
          <w:sz w:val="24"/>
          <w:szCs w:val="24"/>
        </w:rPr>
        <w:t>The diagnostic question</w:t>
      </w:r>
    </w:p>
    <w:p w14:paraId="7A993363" w14:textId="77777777" w:rsidR="002C413E" w:rsidRPr="006F738D" w:rsidRDefault="00000000">
      <w:pPr>
        <w:rPr>
          <w:rFonts w:ascii="Times New Roman" w:hAnsi="Times New Roman" w:cs="Times New Roman"/>
        </w:rPr>
      </w:pPr>
      <w:r w:rsidRPr="006F738D">
        <w:rPr>
          <w:rFonts w:ascii="Times New Roman" w:hAnsi="Times New Roman" w:cs="Times New Roman"/>
        </w:rPr>
        <w:t>The first responsibility of an adaptive leader is diagnosis: before choosing a response, determine what kind of challenge the organisation is facing.</w:t>
      </w:r>
    </w:p>
    <w:p w14:paraId="62554689" w14:textId="77777777" w:rsidR="002C413E" w:rsidRPr="006F738D" w:rsidRDefault="00000000">
      <w:pPr>
        <w:pStyle w:val="Heading2"/>
        <w:rPr>
          <w:rFonts w:ascii="Times New Roman" w:hAnsi="Times New Roman" w:cs="Times New Roman"/>
          <w:sz w:val="24"/>
          <w:szCs w:val="24"/>
        </w:rPr>
      </w:pPr>
      <w:r w:rsidRPr="006F738D">
        <w:rPr>
          <w:rFonts w:ascii="Times New Roman" w:hAnsi="Times New Roman" w:cs="Times New Roman"/>
          <w:sz w:val="24"/>
          <w:szCs w:val="24"/>
        </w:rPr>
        <w:t>Ask the board and executive team:</w:t>
      </w:r>
    </w:p>
    <w:p w14:paraId="7C7FF36C" w14:textId="77777777" w:rsidR="002C413E" w:rsidRPr="006F738D" w:rsidRDefault="00000000">
      <w:pPr>
        <w:rPr>
          <w:rFonts w:ascii="Times New Roman" w:hAnsi="Times New Roman" w:cs="Times New Roman"/>
        </w:rPr>
      </w:pPr>
      <w:r w:rsidRPr="006F738D">
        <w:rPr>
          <w:rFonts w:ascii="Times New Roman" w:hAnsi="Times New Roman" w:cs="Times New Roman"/>
        </w:rPr>
        <w:t>1. Do we already know what needs to be done, and can existing expertise and procedures deliver the answer? If yes, the issue may be primarily technical.</w:t>
      </w:r>
    </w:p>
    <w:p w14:paraId="53AA6786" w14:textId="77777777" w:rsidR="002C413E" w:rsidRPr="006F738D" w:rsidRDefault="00000000">
      <w:pPr>
        <w:rPr>
          <w:rFonts w:ascii="Times New Roman" w:hAnsi="Times New Roman" w:cs="Times New Roman"/>
        </w:rPr>
      </w:pPr>
      <w:r w:rsidRPr="006F738D">
        <w:rPr>
          <w:rFonts w:ascii="Times New Roman" w:hAnsi="Times New Roman" w:cs="Times New Roman"/>
        </w:rPr>
        <w:t>2. Does progress depend on changing behaviours, beliefs, relationships, incentives, or the way different groups work together? If yes, an adaptive challenge is likely involved.</w:t>
      </w:r>
    </w:p>
    <w:p w14:paraId="4B527218" w14:textId="77777777" w:rsidR="002C413E" w:rsidRPr="006F738D" w:rsidRDefault="00000000">
      <w:pPr>
        <w:rPr>
          <w:rFonts w:ascii="Times New Roman" w:hAnsi="Times New Roman" w:cs="Times New Roman"/>
        </w:rPr>
      </w:pPr>
      <w:r w:rsidRPr="006F738D">
        <w:rPr>
          <w:rFonts w:ascii="Times New Roman" w:hAnsi="Times New Roman" w:cs="Times New Roman"/>
        </w:rPr>
        <w:t>3. Is this a mixture of both? Many strategic issues contain a technical component and an adaptive component. The task is to separate them rather than assume one solution will address everything.</w:t>
      </w:r>
    </w:p>
    <w:p w14:paraId="34EFEA92" w14:textId="77777777" w:rsidR="002C413E" w:rsidRPr="006F738D" w:rsidRDefault="00000000">
      <w:pPr>
        <w:rPr>
          <w:rFonts w:ascii="Times New Roman" w:hAnsi="Times New Roman" w:cs="Times New Roman"/>
        </w:rPr>
      </w:pPr>
      <w:r w:rsidRPr="006F738D">
        <w:rPr>
          <w:rFonts w:ascii="Times New Roman" w:hAnsi="Times New Roman" w:cs="Times New Roman"/>
        </w:rPr>
        <w:t>Board-level implication: do not delegate the whole issue to a technical expert or vendor if the real challenge also requires leadership, stakeholder engagement, and changes in organisational behaviour.</w:t>
      </w:r>
    </w:p>
    <w:p w14:paraId="7306B36F" w14:textId="77777777" w:rsidR="002C413E" w:rsidRPr="006F738D" w:rsidRDefault="00000000">
      <w:pPr>
        <w:rPr>
          <w:rFonts w:ascii="Times New Roman" w:hAnsi="Times New Roman" w:cs="Times New Roman"/>
        </w:rPr>
      </w:pPr>
      <w:r w:rsidRPr="006F738D">
        <w:rPr>
          <w:rFonts w:ascii="Times New Roman" w:hAnsi="Times New Roman" w:cs="Times New Roman"/>
        </w:rPr>
        <w:t>Interactive exercise: Present a current organisational challenge in one sentence. Ask participants to identify the technical elements, the adaptive elements, and the evidence they would need before deciding on a response.</w:t>
      </w:r>
    </w:p>
    <w:p w14:paraId="631EA5B4" w14:textId="77777777" w:rsidR="002C413E" w:rsidRPr="006F738D" w:rsidRDefault="00000000">
      <w:pPr>
        <w:rPr>
          <w:rFonts w:ascii="Times New Roman" w:hAnsi="Times New Roman" w:cs="Times New Roman"/>
        </w:rPr>
      </w:pPr>
      <w:r w:rsidRPr="006F738D">
        <w:rPr>
          <w:rFonts w:ascii="Times New Roman" w:hAnsi="Times New Roman" w:cs="Times New Roman"/>
        </w:rPr>
        <w:t>The diagnostic framework is adapted from Heifetz &amp; Linsky (2009).</w:t>
      </w:r>
    </w:p>
    <w:p w14:paraId="29C7D850"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5 — Two boardrooms, one decade</w:t>
      </w:r>
    </w:p>
    <w:p w14:paraId="72C23A71"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Title: Two Boardrooms, One Decade.</w:t>
      </w:r>
      <w:r w:rsidRPr="006F738D">
        <w:rPr>
          <w:rFonts w:ascii="Times New Roman" w:hAnsi="Times New Roman" w:cs="Times New Roman"/>
        </w:rPr>
        <w:br/>
        <w:t xml:space="preserve">Content: The first board meets as scheduled. Its </w:t>
      </w:r>
      <w:proofErr w:type="gramStart"/>
      <w:r w:rsidRPr="006F738D">
        <w:rPr>
          <w:rFonts w:ascii="Times New Roman" w:hAnsi="Times New Roman" w:cs="Times New Roman"/>
        </w:rPr>
        <w:t>board pack</w:t>
      </w:r>
      <w:proofErr w:type="gramEnd"/>
      <w:r w:rsidRPr="006F738D">
        <w:rPr>
          <w:rFonts w:ascii="Times New Roman" w:hAnsi="Times New Roman" w:cs="Times New Roman"/>
        </w:rPr>
        <w:t xml:space="preserve"> contains last quarter’s financial </w:t>
      </w:r>
      <w:r w:rsidRPr="006F738D">
        <w:rPr>
          <w:rFonts w:ascii="Times New Roman" w:hAnsi="Times New Roman" w:cs="Times New Roman"/>
        </w:rPr>
        <w:lastRenderedPageBreak/>
        <w:t xml:space="preserve">results, last month’s operational problems and exceptions, and findings from the most recent audit. All of these are important for good governance, but they mainly explain what has already happened; they do not prepare the board for what may happen next. The second board begins with a ten-minute forward </w:t>
      </w:r>
      <w:proofErr w:type="gramStart"/>
      <w:r w:rsidRPr="006F738D">
        <w:rPr>
          <w:rFonts w:ascii="Times New Roman" w:hAnsi="Times New Roman" w:cs="Times New Roman"/>
        </w:rPr>
        <w:t>scan—a</w:t>
      </w:r>
      <w:proofErr w:type="gramEnd"/>
      <w:r w:rsidRPr="006F738D">
        <w:rPr>
          <w:rFonts w:ascii="Times New Roman" w:hAnsi="Times New Roman" w:cs="Times New Roman"/>
        </w:rPr>
        <w:t xml:space="preserve"> structured look at emerging changes and possible future developments—before reviewing past performance. Both boards have the same meeting schedule and pay their directors the same fees. Yet, ten years later, the first board is having to explain its failures to creditors, while the second is explaining to competitors why it acted early and gained an advantage.</w:t>
      </w:r>
      <w:r w:rsidRPr="006F738D">
        <w:rPr>
          <w:rFonts w:ascii="Times New Roman" w:hAnsi="Times New Roman" w:cs="Times New Roman"/>
        </w:rPr>
        <w:br/>
        <w:t>Pull-quote: "The rear-view mirror is not a windscreen."</w:t>
      </w:r>
    </w:p>
    <w:p w14:paraId="204908E6"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6 — The gap between two tempos</w:t>
      </w:r>
    </w:p>
    <w:p w14:paraId="2CE71F2C"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Title: The Environment Changed Character, Not Merely Speed.</w:t>
      </w:r>
      <w:r w:rsidRPr="006F738D">
        <w:rPr>
          <w:rFonts w:ascii="Times New Roman" w:hAnsi="Times New Roman" w:cs="Times New Roman"/>
        </w:rPr>
        <w:br/>
        <w:t>Content: Important warning signs now come from outside an organisation’s own industry, catching boards off guard. It has become easy to produce predictions, but much harder to exercise sound judgement about what those predictions mean and what the organisation should do. Customers have moved to digital platforms and channels faster than many boards have been able to update their oversight and decision-making. The shocks that can cause the greatest damage to institutions—currency changes, policy shifts, technology disruption and loss of trust—cannot be handled by technical experts alone; they also require informed decisions and timely action from the board. Strategies are most likely to fail when the external environment changes faster than the board’s way of thinking, meeting and making decisions.</w:t>
      </w:r>
    </w:p>
    <w:p w14:paraId="39A396A1"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7 — The argument in one page</w:t>
      </w:r>
    </w:p>
    <w:p w14:paraId="53D66871"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Title: One Operating System, Not Nine Topics.</w:t>
      </w:r>
      <w:r w:rsidRPr="006F738D">
        <w:rPr>
          <w:rFonts w:ascii="Times New Roman" w:hAnsi="Times New Roman" w:cs="Times New Roman"/>
        </w:rPr>
        <w:br/>
        <w:t>Content: Foresight should not be treated as an interesting academic activity reserved for planning departments. It should become a Board Foresight Operating System: a practical set of regular routines, clearly assigned decision-making responsibilities (decision rights), and responses that the board has practised in advance. These help the board respond to a changing world by adjusting its agenda and decisions as conditions change. Six cases and three exercises will take participants from understanding the ideas, to examining real cases, to practising how to apply the ideas.</w:t>
      </w:r>
    </w:p>
    <w:p w14:paraId="63719B9A"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8 — Key definitions</w:t>
      </w:r>
    </w:p>
    <w:p w14:paraId="186B5A02"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b/>
          <w:bCs/>
          <w:kern w:val="0"/>
          <w14:ligatures w14:val="none"/>
        </w:rPr>
        <w:t>Title:</w:t>
      </w:r>
      <w:r w:rsidRPr="006F738D">
        <w:rPr>
          <w:rFonts w:ascii="Times New Roman" w:eastAsia="Times New Roman" w:hAnsi="Times New Roman" w:cs="Times New Roman"/>
          <w:kern w:val="0"/>
          <w14:ligatures w14:val="none"/>
        </w:rPr>
        <w:t xml:space="preserve"> </w:t>
      </w:r>
      <w:r w:rsidRPr="006F738D">
        <w:rPr>
          <w:rFonts w:ascii="Times New Roman" w:eastAsia="Times New Roman" w:hAnsi="Times New Roman" w:cs="Times New Roman"/>
          <w:i/>
          <w:iCs/>
          <w:kern w:val="0"/>
          <w14:ligatures w14:val="none"/>
        </w:rPr>
        <w:t>Three Definitions That Govern the Day.</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b/>
          <w:bCs/>
          <w:kern w:val="0"/>
          <w14:ligatures w14:val="none"/>
        </w:rPr>
        <w:t>Content (list):</w:t>
      </w:r>
    </w:p>
    <w:p w14:paraId="6968CA41" w14:textId="77777777" w:rsidR="00E06F49" w:rsidRPr="006F738D" w:rsidRDefault="00E06F49" w:rsidP="00E06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 xml:space="preserve">Strategic foresight — the organisation’s ability to explore, notice and practise responding to several plausible futures, so that decisions made today take tomorrow’s possibilities into account. It does not mean predicting exactly what will happen. It means preparing for a range of believable </w:t>
      </w:r>
      <w:proofErr w:type="gramStart"/>
      <w:r w:rsidRPr="006F738D">
        <w:rPr>
          <w:rFonts w:ascii="Times New Roman" w:hAnsi="Times New Roman" w:cs="Times New Roman"/>
        </w:rPr>
        <w:t>futures</w:t>
      </w:r>
      <w:proofErr w:type="gramEnd"/>
      <w:r w:rsidRPr="006F738D">
        <w:rPr>
          <w:rFonts w:ascii="Times New Roman" w:hAnsi="Times New Roman" w:cs="Times New Roman"/>
        </w:rPr>
        <w:t xml:space="preserve"> so the organisation is less likely to be caught completely unprepared by any of them.</w:t>
      </w:r>
    </w:p>
    <w:p w14:paraId="7423FD0C" w14:textId="77777777" w:rsidR="00E06F49" w:rsidRPr="006F738D" w:rsidRDefault="00E06F49" w:rsidP="00E06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lastRenderedPageBreak/>
        <w:t>Fiduciary duty of foresight — the board’s responsibility is not only to ensure that the organisation’s assets are used properly today, but also to protect its ability to survive, remain viable and continue operating in the future.</w:t>
      </w:r>
    </w:p>
    <w:p w14:paraId="23AFA29B" w14:textId="77777777" w:rsidR="00E06F49" w:rsidRPr="006F738D" w:rsidRDefault="00E06F49" w:rsidP="00E06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 xml:space="preserve">VUCA — Volatility, Uncertainty, Complexity and Ambiguity. These are the conditions </w:t>
      </w:r>
      <w:proofErr w:type="gramStart"/>
      <w:r w:rsidRPr="006F738D">
        <w:rPr>
          <w:rFonts w:ascii="Times New Roman" w:hAnsi="Times New Roman" w:cs="Times New Roman"/>
        </w:rPr>
        <w:t>in</w:t>
      </w:r>
      <w:proofErr w:type="gramEnd"/>
      <w:r w:rsidRPr="006F738D">
        <w:rPr>
          <w:rFonts w:ascii="Times New Roman" w:hAnsi="Times New Roman" w:cs="Times New Roman"/>
        </w:rPr>
        <w:t xml:space="preserve"> which organisations must make decisions: circumstances may change quickly, information may be incomplete, issues may be interconnected, and the meaning of events may not be clear. The tools discussed in this lecture are responses to these conditions.</w:t>
      </w:r>
    </w:p>
    <w:p w14:paraId="23FDE7DB"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9 — VUCA unpacked</w:t>
      </w:r>
    </w:p>
    <w:p w14:paraId="5EB48457"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b/>
          <w:bCs/>
          <w:kern w:val="0"/>
          <w14:ligatures w14:val="none"/>
        </w:rPr>
        <w:t>Title:</w:t>
      </w:r>
      <w:r w:rsidRPr="006F738D">
        <w:rPr>
          <w:rFonts w:ascii="Times New Roman" w:eastAsia="Times New Roman" w:hAnsi="Times New Roman" w:cs="Times New Roman"/>
          <w:kern w:val="0"/>
          <w14:ligatures w14:val="none"/>
        </w:rPr>
        <w:t xml:space="preserve"> </w:t>
      </w:r>
      <w:r w:rsidRPr="006F738D">
        <w:rPr>
          <w:rFonts w:ascii="Times New Roman" w:eastAsia="Times New Roman" w:hAnsi="Times New Roman" w:cs="Times New Roman"/>
          <w:i/>
          <w:iCs/>
          <w:kern w:val="0"/>
          <w14:ligatures w14:val="none"/>
        </w:rPr>
        <w:t>VUCA — The Standing Condition.</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b/>
          <w:bCs/>
          <w:kern w:val="0"/>
          <w14:ligatures w14:val="none"/>
        </w:rPr>
        <w:t>Content (list):</w:t>
      </w:r>
    </w:p>
    <w:p w14:paraId="4E45D7E5" w14:textId="77777777" w:rsidR="00E06F49" w:rsidRPr="006F738D" w:rsidRDefault="00E06F49" w:rsidP="00E06F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Volatility — rapid and difficult-to-predict changes that can disrupt plans. Because conditions may shift suddenly, organisations need to keep reviewing their plans and adapting as necessary.</w:t>
      </w:r>
    </w:p>
    <w:p w14:paraId="6878414F" w14:textId="77777777" w:rsidR="00E06F49" w:rsidRPr="006F738D" w:rsidRDefault="00E06F49" w:rsidP="00E06F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 xml:space="preserve">Uncertainty — a situation in which information is </w:t>
      </w:r>
      <w:proofErr w:type="gramStart"/>
      <w:r w:rsidRPr="006F738D">
        <w:rPr>
          <w:rFonts w:ascii="Times New Roman" w:hAnsi="Times New Roman" w:cs="Times New Roman"/>
        </w:rPr>
        <w:t>incomplete</w:t>
      </w:r>
      <w:proofErr w:type="gramEnd"/>
      <w:r w:rsidRPr="006F738D">
        <w:rPr>
          <w:rFonts w:ascii="Times New Roman" w:hAnsi="Times New Roman" w:cs="Times New Roman"/>
        </w:rPr>
        <w:t xml:space="preserve"> and outcomes are difficult to know in advance. As a result, forecasts are less reliable and leaders need to be clear about what they know, what they do not know and what they are monitoring.</w:t>
      </w:r>
    </w:p>
    <w:p w14:paraId="686E5AB9" w14:textId="77777777" w:rsidR="00E06F49" w:rsidRPr="006F738D" w:rsidRDefault="00E06F49" w:rsidP="00E06F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Complexity — a situation in which many factors are connected, so a change in one area can create effects in other areas. A decision that appears simple in one department, for example, may affect costs, customers, suppliers or risk elsewhere in the organisation.</w:t>
      </w:r>
    </w:p>
    <w:p w14:paraId="6C9B620A" w14:textId="77777777" w:rsidR="00E06F49" w:rsidRPr="006F738D" w:rsidRDefault="00E06F49" w:rsidP="00E06F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Ambiguity — a situation in which information can be understood in more than one way, making it difficult to know what an event means or which priority should come first.</w:t>
      </w:r>
    </w:p>
    <w:p w14:paraId="200D1CFC"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10 — The cost of late sight</w:t>
      </w:r>
    </w:p>
    <w:p w14:paraId="321DB30F"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Title: A Signal Noticed Early Is an Option; Noticed Late, a Loss.</w:t>
      </w:r>
      <w:r w:rsidRPr="006F738D">
        <w:rPr>
          <w:rFonts w:ascii="Times New Roman" w:hAnsi="Times New Roman" w:cs="Times New Roman"/>
        </w:rPr>
        <w:br/>
        <w:t xml:space="preserve">Content: The cost of noticing a warning sign too late can grow over time. If a signal is </w:t>
      </w:r>
      <w:proofErr w:type="gramStart"/>
      <w:r w:rsidRPr="006F738D">
        <w:rPr>
          <w:rFonts w:ascii="Times New Roman" w:hAnsi="Times New Roman" w:cs="Times New Roman"/>
        </w:rPr>
        <w:t>noticed</w:t>
      </w:r>
      <w:proofErr w:type="gramEnd"/>
      <w:r w:rsidRPr="006F738D">
        <w:rPr>
          <w:rFonts w:ascii="Times New Roman" w:hAnsi="Times New Roman" w:cs="Times New Roman"/>
        </w:rPr>
        <w:t xml:space="preserve"> early, it creates a strategic option: the organisation can keep watching it, estimate its likely cost or value, take steps to reduce the risk (hedge), and practise how it would respond. If the same signal is noticed </w:t>
      </w:r>
      <w:proofErr w:type="gramStart"/>
      <w:r w:rsidRPr="006F738D">
        <w:rPr>
          <w:rFonts w:ascii="Times New Roman" w:hAnsi="Times New Roman" w:cs="Times New Roman"/>
        </w:rPr>
        <w:t>late</w:t>
      </w:r>
      <w:proofErr w:type="gramEnd"/>
      <w:r w:rsidRPr="006F738D">
        <w:rPr>
          <w:rFonts w:ascii="Times New Roman" w:hAnsi="Times New Roman" w:cs="Times New Roman"/>
        </w:rPr>
        <w:t>, the organisation may already be facing losses because contracts, customer behaviour, competitors’ actions and its own available choices have changed. This programme cannot make an organisation predict the future perfectly. Instead, it helps the organisation notice important developments sooner—ideally well before they cause harm, rather than only while the impact is happening or after it has occurred.</w:t>
      </w:r>
    </w:p>
    <w:p w14:paraId="386B132D"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11 — Sequence is policy</w:t>
      </w:r>
    </w:p>
    <w:p w14:paraId="7ECB7F2F"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b/>
          <w:bCs/>
          <w:kern w:val="0"/>
          <w14:ligatures w14:val="none"/>
        </w:rPr>
        <w:t>Title:</w:t>
      </w:r>
      <w:r w:rsidRPr="006F738D">
        <w:rPr>
          <w:rFonts w:ascii="Times New Roman" w:eastAsia="Times New Roman" w:hAnsi="Times New Roman" w:cs="Times New Roman"/>
          <w:kern w:val="0"/>
          <w14:ligatures w14:val="none"/>
        </w:rPr>
        <w:t xml:space="preserve"> </w:t>
      </w:r>
      <w:r w:rsidRPr="006F738D">
        <w:rPr>
          <w:rFonts w:ascii="Times New Roman" w:eastAsia="Times New Roman" w:hAnsi="Times New Roman" w:cs="Times New Roman"/>
          <w:i/>
          <w:iCs/>
          <w:kern w:val="0"/>
          <w14:ligatures w14:val="none"/>
        </w:rPr>
        <w:t>Sequence Is Policy — Four Board Routines.</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b/>
          <w:bCs/>
          <w:kern w:val="0"/>
          <w14:ligatures w14:val="none"/>
        </w:rPr>
        <w:t>Content (list):</w:t>
      </w:r>
    </w:p>
    <w:p w14:paraId="5FDB261C" w14:textId="77777777" w:rsidR="00E06F49" w:rsidRPr="006F738D" w:rsidRDefault="00E06F49" w:rsidP="00E06F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The forward scan opens the meeting — spend ten minutes discussing emerging trends, warning signs and possible futures before reviewing the financial results. This small change in the order of business shifts the board’s attention towards what may be coming, without adding time to the meeting.</w:t>
      </w:r>
    </w:p>
    <w:p w14:paraId="7551D9B5" w14:textId="77777777" w:rsidR="00E06F49" w:rsidRPr="006F738D" w:rsidRDefault="00E06F49" w:rsidP="00E06F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lastRenderedPageBreak/>
        <w:t>The horizon owns a calendar date — set aside one meeting each year specifically to consider the second and third horizons: developments over the next one to three years and possible futures three to ten years away. Do not allow the session to be taken over by routine issues concerning the current year.</w:t>
      </w:r>
    </w:p>
    <w:p w14:paraId="6019F747" w14:textId="77777777" w:rsidR="00E06F49" w:rsidRPr="006F738D" w:rsidRDefault="00E06F49" w:rsidP="00E06F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 xml:space="preserve">Every signal </w:t>
      </w:r>
      <w:proofErr w:type="gramStart"/>
      <w:r w:rsidRPr="006F738D">
        <w:rPr>
          <w:rFonts w:ascii="Times New Roman" w:hAnsi="Times New Roman" w:cs="Times New Roman"/>
        </w:rPr>
        <w:t>leaves</w:t>
      </w:r>
      <w:proofErr w:type="gramEnd"/>
      <w:r w:rsidRPr="006F738D">
        <w:rPr>
          <w:rFonts w:ascii="Times New Roman" w:hAnsi="Times New Roman" w:cs="Times New Roman"/>
        </w:rPr>
        <w:t xml:space="preserve"> with a verdict — decide whether each warning sign or emerging development should be monitored, investigated further or acted on, and assign a named person to take responsibility. If no decision is made, the signal remains just a discussion topic and is likely to be forgotten before the next meeting.</w:t>
      </w:r>
    </w:p>
    <w:p w14:paraId="5F3048D1" w14:textId="77777777" w:rsidR="00E06F49" w:rsidRPr="006F738D" w:rsidRDefault="00E06F49" w:rsidP="00E06F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Foresight is never the last item — if discussion of the future is added only after the financial results and other agenda items, directors may be tired and ready to leave. The subject may receive little attention, and no one may make a clear decision. Discuss it while the board still has the energy and time to act on it.</w:t>
      </w:r>
    </w:p>
    <w:p w14:paraId="5A665496"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12 — What each horizon demands</w:t>
      </w:r>
    </w:p>
    <w:p w14:paraId="22C7F674"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b/>
          <w:bCs/>
          <w:kern w:val="0"/>
          <w14:ligatures w14:val="none"/>
        </w:rPr>
        <w:t>Title:</w:t>
      </w:r>
      <w:r w:rsidRPr="006F738D">
        <w:rPr>
          <w:rFonts w:ascii="Times New Roman" w:eastAsia="Times New Roman" w:hAnsi="Times New Roman" w:cs="Times New Roman"/>
          <w:kern w:val="0"/>
          <w14:ligatures w14:val="none"/>
        </w:rPr>
        <w:t xml:space="preserve"> </w:t>
      </w:r>
      <w:r w:rsidRPr="006F738D">
        <w:rPr>
          <w:rFonts w:ascii="Times New Roman" w:eastAsia="Times New Roman" w:hAnsi="Times New Roman" w:cs="Times New Roman"/>
          <w:i/>
          <w:iCs/>
          <w:kern w:val="0"/>
          <w14:ligatures w14:val="none"/>
        </w:rPr>
        <w:t>The Three Horizons — and What Each Demands.</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b/>
          <w:bCs/>
          <w:kern w:val="0"/>
          <w14:ligatures w14:val="none"/>
        </w:rPr>
        <w:t>Content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84"/>
        <w:gridCol w:w="3473"/>
        <w:gridCol w:w="3988"/>
      </w:tblGrid>
      <w:tr w:rsidR="00E06F49" w:rsidRPr="006F738D" w14:paraId="10DF21FB" w14:textId="77777777" w:rsidTr="00E70E39">
        <w:trPr>
          <w:tblCellSpacing w:w="15" w:type="dxa"/>
        </w:trPr>
        <w:tc>
          <w:tcPr>
            <w:tcW w:w="0" w:type="auto"/>
            <w:vAlign w:val="center"/>
            <w:hideMark/>
          </w:tcPr>
          <w:p w14:paraId="6C46928F" w14:textId="77777777" w:rsidR="00E06F49" w:rsidRPr="006F738D" w:rsidRDefault="00E06F49" w:rsidP="00E70E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F738D">
              <w:rPr>
                <w:rFonts w:ascii="Times New Roman" w:eastAsia="Times New Roman" w:hAnsi="Times New Roman" w:cs="Times New Roman"/>
                <w:b/>
                <w:bCs/>
                <w:kern w:val="0"/>
                <w14:ligatures w14:val="none"/>
              </w:rPr>
              <w:t>Horizon</w:t>
            </w:r>
          </w:p>
        </w:tc>
        <w:tc>
          <w:tcPr>
            <w:tcW w:w="0" w:type="auto"/>
            <w:vAlign w:val="center"/>
            <w:hideMark/>
          </w:tcPr>
          <w:p w14:paraId="6A7170A8" w14:textId="77777777" w:rsidR="00E06F49" w:rsidRPr="006F738D" w:rsidRDefault="00E06F49" w:rsidP="00E70E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F738D">
              <w:rPr>
                <w:rFonts w:ascii="Times New Roman" w:eastAsia="Times New Roman" w:hAnsi="Times New Roman" w:cs="Times New Roman"/>
                <w:b/>
                <w:bCs/>
                <w:kern w:val="0"/>
                <w14:ligatures w14:val="none"/>
              </w:rPr>
              <w:t>Band</w:t>
            </w:r>
          </w:p>
        </w:tc>
        <w:tc>
          <w:tcPr>
            <w:tcW w:w="0" w:type="auto"/>
            <w:vAlign w:val="center"/>
            <w:hideMark/>
          </w:tcPr>
          <w:p w14:paraId="1CFBCEDA" w14:textId="77777777" w:rsidR="00E06F49" w:rsidRPr="006F738D" w:rsidRDefault="00E06F49" w:rsidP="00E70E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F738D">
              <w:rPr>
                <w:rFonts w:ascii="Times New Roman" w:eastAsia="Times New Roman" w:hAnsi="Times New Roman" w:cs="Times New Roman"/>
                <w:b/>
                <w:bCs/>
                <w:kern w:val="0"/>
                <w14:ligatures w14:val="none"/>
              </w:rPr>
              <w:t>The business</w:t>
            </w:r>
          </w:p>
        </w:tc>
        <w:tc>
          <w:tcPr>
            <w:tcW w:w="0" w:type="auto"/>
            <w:vAlign w:val="center"/>
            <w:hideMark/>
          </w:tcPr>
          <w:p w14:paraId="033B314E" w14:textId="77777777" w:rsidR="00E06F49" w:rsidRPr="006F738D" w:rsidRDefault="00E06F49" w:rsidP="00E70E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F738D">
              <w:rPr>
                <w:rFonts w:ascii="Times New Roman" w:eastAsia="Times New Roman" w:hAnsi="Times New Roman" w:cs="Times New Roman"/>
                <w:b/>
                <w:bCs/>
                <w:kern w:val="0"/>
                <w14:ligatures w14:val="none"/>
              </w:rPr>
              <w:t>The governance failure</w:t>
            </w:r>
          </w:p>
        </w:tc>
      </w:tr>
      <w:tr w:rsidR="00E06F49" w:rsidRPr="006F738D" w14:paraId="56A15457" w14:textId="77777777" w:rsidTr="00E70E39">
        <w:trPr>
          <w:tblCellSpacing w:w="15" w:type="dxa"/>
        </w:trPr>
        <w:tc>
          <w:tcPr>
            <w:tcW w:w="0" w:type="auto"/>
            <w:vAlign w:val="center"/>
            <w:hideMark/>
          </w:tcPr>
          <w:p w14:paraId="5B2746D8"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H1</w:t>
            </w:r>
          </w:p>
        </w:tc>
        <w:tc>
          <w:tcPr>
            <w:tcW w:w="0" w:type="auto"/>
            <w:vAlign w:val="center"/>
            <w:hideMark/>
          </w:tcPr>
          <w:p w14:paraId="0CD5A0D7"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0–12 months</w:t>
            </w:r>
          </w:p>
        </w:tc>
        <w:tc>
          <w:tcPr>
            <w:tcW w:w="0" w:type="auto"/>
            <w:vAlign w:val="center"/>
            <w:hideMark/>
          </w:tcPr>
          <w:p w14:paraId="7A881FCF"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Revenue, cost, risk, delivery</w:t>
            </w:r>
          </w:p>
        </w:tc>
        <w:tc>
          <w:tcPr>
            <w:tcW w:w="0" w:type="auto"/>
            <w:vAlign w:val="center"/>
            <w:hideMark/>
          </w:tcPr>
          <w:p w14:paraId="533941E2" w14:textId="77777777" w:rsidR="002C413E" w:rsidRPr="006F738D" w:rsidRDefault="00000000">
            <w:pPr>
              <w:rPr>
                <w:rFonts w:ascii="Times New Roman" w:hAnsi="Times New Roman" w:cs="Times New Roman"/>
              </w:rPr>
            </w:pPr>
            <w:r w:rsidRPr="006F738D">
              <w:rPr>
                <w:rFonts w:ascii="Times New Roman" w:hAnsi="Times New Roman" w:cs="Times New Roman"/>
              </w:rPr>
              <w:t>Focusing only on current operations, leaving no room for other priorities</w:t>
            </w:r>
          </w:p>
        </w:tc>
      </w:tr>
      <w:tr w:rsidR="00E06F49" w:rsidRPr="006F738D" w14:paraId="34B47CDE" w14:textId="77777777" w:rsidTr="00E70E39">
        <w:trPr>
          <w:tblCellSpacing w:w="15" w:type="dxa"/>
        </w:trPr>
        <w:tc>
          <w:tcPr>
            <w:tcW w:w="0" w:type="auto"/>
            <w:vAlign w:val="center"/>
            <w:hideMark/>
          </w:tcPr>
          <w:p w14:paraId="062D7443"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H2</w:t>
            </w:r>
          </w:p>
        </w:tc>
        <w:tc>
          <w:tcPr>
            <w:tcW w:w="0" w:type="auto"/>
            <w:vAlign w:val="center"/>
            <w:hideMark/>
          </w:tcPr>
          <w:p w14:paraId="18D1DBF9"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1–3 years</w:t>
            </w:r>
          </w:p>
        </w:tc>
        <w:tc>
          <w:tcPr>
            <w:tcW w:w="0" w:type="auto"/>
            <w:vAlign w:val="center"/>
            <w:hideMark/>
          </w:tcPr>
          <w:p w14:paraId="45F0AAAF"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Products, channels, partnerships being built now</w:t>
            </w:r>
          </w:p>
        </w:tc>
        <w:tc>
          <w:tcPr>
            <w:tcW w:w="0" w:type="auto"/>
            <w:vAlign w:val="center"/>
            <w:hideMark/>
          </w:tcPr>
          <w:p w14:paraId="3CD0E380" w14:textId="77777777" w:rsidR="002C413E" w:rsidRPr="006F738D" w:rsidRDefault="00000000">
            <w:pPr>
              <w:rPr>
                <w:rFonts w:ascii="Times New Roman" w:hAnsi="Times New Roman" w:cs="Times New Roman"/>
              </w:rPr>
            </w:pPr>
            <w:r w:rsidRPr="006F738D">
              <w:rPr>
                <w:rFonts w:ascii="Times New Roman" w:hAnsi="Times New Roman" w:cs="Times New Roman"/>
              </w:rPr>
              <w:t>Strategic drift becomes difficult or impossible to reverse</w:t>
            </w:r>
          </w:p>
        </w:tc>
      </w:tr>
      <w:tr w:rsidR="00E06F49" w:rsidRPr="006F738D" w14:paraId="04EFFC96" w14:textId="77777777" w:rsidTr="00E70E39">
        <w:trPr>
          <w:tblCellSpacing w:w="15" w:type="dxa"/>
        </w:trPr>
        <w:tc>
          <w:tcPr>
            <w:tcW w:w="0" w:type="auto"/>
            <w:vAlign w:val="center"/>
            <w:hideMark/>
          </w:tcPr>
          <w:p w14:paraId="0B27228C"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H3</w:t>
            </w:r>
          </w:p>
        </w:tc>
        <w:tc>
          <w:tcPr>
            <w:tcW w:w="0" w:type="auto"/>
            <w:vAlign w:val="center"/>
            <w:hideMark/>
          </w:tcPr>
          <w:p w14:paraId="77651CCA" w14:textId="77777777" w:rsidR="00E06F49" w:rsidRPr="006F738D" w:rsidRDefault="00E06F49" w:rsidP="00E70E3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kern w:val="0"/>
                <w14:ligatures w14:val="none"/>
              </w:rPr>
              <w:t>3–10 years</w:t>
            </w:r>
          </w:p>
        </w:tc>
        <w:tc>
          <w:tcPr>
            <w:tcW w:w="0" w:type="auto"/>
            <w:vAlign w:val="center"/>
            <w:hideMark/>
          </w:tcPr>
          <w:p w14:paraId="7D0E599B" w14:textId="77777777" w:rsidR="002C413E" w:rsidRPr="006F738D" w:rsidRDefault="00000000">
            <w:pPr>
              <w:rPr>
                <w:rFonts w:ascii="Times New Roman" w:hAnsi="Times New Roman" w:cs="Times New Roman"/>
              </w:rPr>
            </w:pPr>
            <w:r w:rsidRPr="006F738D">
              <w:rPr>
                <w:rFonts w:ascii="Times New Roman" w:hAnsi="Times New Roman" w:cs="Times New Roman"/>
              </w:rPr>
              <w:t>Options: possible future directions the organisation has not yet chosen</w:t>
            </w:r>
          </w:p>
        </w:tc>
        <w:tc>
          <w:tcPr>
            <w:tcW w:w="0" w:type="auto"/>
            <w:vAlign w:val="center"/>
            <w:hideMark/>
          </w:tcPr>
          <w:p w14:paraId="2A9082A0" w14:textId="77777777" w:rsidR="002C413E" w:rsidRPr="006F738D" w:rsidRDefault="00000000">
            <w:pPr>
              <w:rPr>
                <w:rFonts w:ascii="Times New Roman" w:hAnsi="Times New Roman" w:cs="Times New Roman"/>
              </w:rPr>
            </w:pPr>
            <w:r w:rsidRPr="006F738D">
              <w:rPr>
                <w:rFonts w:ascii="Times New Roman" w:hAnsi="Times New Roman" w:cs="Times New Roman"/>
              </w:rPr>
              <w:t>Future options are rejected because they are judged by today’s short-term measures</w:t>
            </w:r>
          </w:p>
        </w:tc>
      </w:tr>
    </w:tbl>
    <w:p w14:paraId="05B9AC69"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13 — The typical failure pattern</w:t>
      </w:r>
    </w:p>
    <w:p w14:paraId="3F17E82D"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hAnsi="Times New Roman" w:cs="Times New Roman"/>
        </w:rPr>
        <w:t>Title: The Typical Failure Pattern.</w:t>
      </w:r>
      <w:r w:rsidRPr="006F738D">
        <w:rPr>
          <w:rFonts w:ascii="Times New Roman" w:hAnsi="Times New Roman" w:cs="Times New Roman"/>
        </w:rPr>
        <w:br/>
        <w:t xml:space="preserve">Content: The board pack focuses on what happened last year. The forecast presents only one expected outcome, as if there were no other possibilities. The board hands an adaptive </w:t>
      </w:r>
      <w:proofErr w:type="gramStart"/>
      <w:r w:rsidRPr="006F738D">
        <w:rPr>
          <w:rFonts w:ascii="Times New Roman" w:hAnsi="Times New Roman" w:cs="Times New Roman"/>
        </w:rPr>
        <w:t>challenge—a problem</w:t>
      </w:r>
      <w:proofErr w:type="gramEnd"/>
      <w:r w:rsidRPr="006F738D">
        <w:rPr>
          <w:rFonts w:ascii="Times New Roman" w:hAnsi="Times New Roman" w:cs="Times New Roman"/>
        </w:rPr>
        <w:t xml:space="preserve"> that requires people to change their assumptions, behaviour or ways of working—to an outside vendor instead of taking responsibility for leading the necessary change. A warning sign that makes people uncomfortable is raised but then forgotten or ignored between meetings. These failures do not necessarily mean that the board is incapable of handling issues it already understands. They show that it is not adequately preparing for unfamiliar situations and developments it does not yet understand. The cases that follow give specific examples of each failure pattern.</w:t>
      </w:r>
    </w:p>
    <w:p w14:paraId="1332CA63" w14:textId="77777777" w:rsidR="00E06F49" w:rsidRPr="006F738D" w:rsidRDefault="00E06F49" w:rsidP="00E06F4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F738D">
        <w:rPr>
          <w:rFonts w:ascii="Times New Roman" w:hAnsi="Times New Roman" w:cs="Times New Roman"/>
        </w:rPr>
        <w:t>Slide 14 — Bridge to the evidence</w:t>
      </w:r>
    </w:p>
    <w:p w14:paraId="1E8AE8BF" w14:textId="77777777" w:rsidR="00E06F49" w:rsidRPr="006F738D" w:rsidRDefault="00E06F49" w:rsidP="00E06F49">
      <w:pPr>
        <w:spacing w:before="100" w:beforeAutospacing="1" w:after="100" w:afterAutospacing="1" w:line="240" w:lineRule="auto"/>
        <w:rPr>
          <w:rFonts w:ascii="Times New Roman" w:eastAsia="Times New Roman" w:hAnsi="Times New Roman" w:cs="Times New Roman"/>
          <w:kern w:val="0"/>
          <w14:ligatures w14:val="none"/>
        </w:rPr>
      </w:pPr>
      <w:r w:rsidRPr="006F738D">
        <w:rPr>
          <w:rFonts w:ascii="Times New Roman" w:eastAsia="Times New Roman" w:hAnsi="Times New Roman" w:cs="Times New Roman"/>
          <w:b/>
          <w:bCs/>
          <w:kern w:val="0"/>
          <w14:ligatures w14:val="none"/>
        </w:rPr>
        <w:lastRenderedPageBreak/>
        <w:t>Headline:</w:t>
      </w:r>
      <w:r w:rsidRPr="006F738D">
        <w:rPr>
          <w:rFonts w:ascii="Times New Roman" w:eastAsia="Times New Roman" w:hAnsi="Times New Roman" w:cs="Times New Roman"/>
          <w:kern w:val="0"/>
          <w14:ligatures w14:val="none"/>
        </w:rPr>
        <w:t xml:space="preserve"> From Argument to Evidence</w:t>
      </w:r>
      <w:r w:rsidRPr="006F738D">
        <w:rPr>
          <w:rFonts w:ascii="Times New Roman" w:eastAsia="Times New Roman" w:hAnsi="Times New Roman" w:cs="Times New Roman"/>
          <w:kern w:val="0"/>
          <w14:ligatures w14:val="none"/>
        </w:rPr>
        <w:br/>
      </w:r>
      <w:r w:rsidRPr="006F738D">
        <w:rPr>
          <w:rFonts w:ascii="Times New Roman" w:eastAsia="Times New Roman" w:hAnsi="Times New Roman" w:cs="Times New Roman"/>
          <w:b/>
          <w:bCs/>
          <w:kern w:val="0"/>
          <w14:ligatures w14:val="none"/>
        </w:rPr>
        <w:t>Content:</w:t>
      </w:r>
      <w:r w:rsidRPr="006F738D">
        <w:rPr>
          <w:rFonts w:ascii="Times New Roman" w:eastAsia="Times New Roman" w:hAnsi="Times New Roman" w:cs="Times New Roman"/>
          <w:kern w:val="0"/>
          <w14:ligatures w14:val="none"/>
        </w:rPr>
        <w:t xml:space="preserve"> Six documented, verifiable cases. Three pen-and-paper exercises. One operating system. Every case answers the same question: </w:t>
      </w:r>
      <w:r w:rsidRPr="006F738D">
        <w:rPr>
          <w:rFonts w:ascii="Times New Roman" w:eastAsia="Times New Roman" w:hAnsi="Times New Roman" w:cs="Times New Roman"/>
          <w:i/>
          <w:iCs/>
          <w:kern w:val="0"/>
          <w14:ligatures w14:val="none"/>
        </w:rPr>
        <w:t>what did the board rehearse — or fail to rehearse?</w:t>
      </w:r>
    </w:p>
    <w:p w14:paraId="520FA461" w14:textId="77777777" w:rsidR="00AE3280" w:rsidRPr="006F738D" w:rsidRDefault="00AE3280">
      <w:pPr>
        <w:rPr>
          <w:rFonts w:ascii="Times New Roman" w:hAnsi="Times New Roman" w:cs="Times New Roman"/>
        </w:rPr>
      </w:pPr>
    </w:p>
    <w:sectPr w:rsidR="00AE3280" w:rsidRPr="006F7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D5B"/>
    <w:multiLevelType w:val="multilevel"/>
    <w:tmpl w:val="5DC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33FB9"/>
    <w:multiLevelType w:val="multilevel"/>
    <w:tmpl w:val="C630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5B3D27"/>
    <w:multiLevelType w:val="multilevel"/>
    <w:tmpl w:val="651E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378584">
    <w:abstractNumId w:val="2"/>
  </w:num>
  <w:num w:numId="2" w16cid:durableId="810026398">
    <w:abstractNumId w:val="0"/>
  </w:num>
  <w:num w:numId="3" w16cid:durableId="28266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49"/>
    <w:rsid w:val="001309FB"/>
    <w:rsid w:val="002878B1"/>
    <w:rsid w:val="002C413E"/>
    <w:rsid w:val="00651AB3"/>
    <w:rsid w:val="006F738D"/>
    <w:rsid w:val="00AE3280"/>
    <w:rsid w:val="00C22E07"/>
    <w:rsid w:val="00C51027"/>
    <w:rsid w:val="00E06F49"/>
    <w:rsid w:val="00E97944"/>
    <w:rsid w:val="00F37BDC"/>
    <w:rsid w:val="00F81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0B71"/>
  <w15:chartTrackingRefBased/>
  <w15:docId w15:val="{6A0F2C33-D6AA-42FF-8089-9F7B1E18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49"/>
  </w:style>
  <w:style w:type="paragraph" w:styleId="Heading1">
    <w:name w:val="heading 1"/>
    <w:basedOn w:val="Normal"/>
    <w:next w:val="Normal"/>
    <w:link w:val="Heading1Char"/>
    <w:uiPriority w:val="9"/>
    <w:qFormat/>
    <w:rsid w:val="00E06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49"/>
    <w:rPr>
      <w:rFonts w:eastAsiaTheme="majorEastAsia" w:cstheme="majorBidi"/>
      <w:color w:val="272727" w:themeColor="text1" w:themeTint="D8"/>
    </w:rPr>
  </w:style>
  <w:style w:type="paragraph" w:styleId="Title">
    <w:name w:val="Title"/>
    <w:basedOn w:val="Normal"/>
    <w:next w:val="Normal"/>
    <w:link w:val="TitleChar"/>
    <w:uiPriority w:val="10"/>
    <w:qFormat/>
    <w:rsid w:val="00E06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49"/>
    <w:pPr>
      <w:spacing w:before="160"/>
      <w:jc w:val="center"/>
    </w:pPr>
    <w:rPr>
      <w:i/>
      <w:iCs/>
      <w:color w:val="404040" w:themeColor="text1" w:themeTint="BF"/>
    </w:rPr>
  </w:style>
  <w:style w:type="character" w:customStyle="1" w:styleId="QuoteChar">
    <w:name w:val="Quote Char"/>
    <w:basedOn w:val="DefaultParagraphFont"/>
    <w:link w:val="Quote"/>
    <w:uiPriority w:val="29"/>
    <w:rsid w:val="00E06F49"/>
    <w:rPr>
      <w:i/>
      <w:iCs/>
      <w:color w:val="404040" w:themeColor="text1" w:themeTint="BF"/>
    </w:rPr>
  </w:style>
  <w:style w:type="paragraph" w:styleId="ListParagraph">
    <w:name w:val="List Paragraph"/>
    <w:basedOn w:val="Normal"/>
    <w:uiPriority w:val="34"/>
    <w:qFormat/>
    <w:rsid w:val="00E06F49"/>
    <w:pPr>
      <w:ind w:left="720"/>
      <w:contextualSpacing/>
    </w:pPr>
  </w:style>
  <w:style w:type="character" w:styleId="IntenseEmphasis">
    <w:name w:val="Intense Emphasis"/>
    <w:basedOn w:val="DefaultParagraphFont"/>
    <w:uiPriority w:val="21"/>
    <w:qFormat/>
    <w:rsid w:val="00E06F49"/>
    <w:rPr>
      <w:i/>
      <w:iCs/>
      <w:color w:val="0F4761" w:themeColor="accent1" w:themeShade="BF"/>
    </w:rPr>
  </w:style>
  <w:style w:type="paragraph" w:styleId="IntenseQuote">
    <w:name w:val="Intense Quote"/>
    <w:basedOn w:val="Normal"/>
    <w:next w:val="Normal"/>
    <w:link w:val="IntenseQuoteChar"/>
    <w:uiPriority w:val="30"/>
    <w:qFormat/>
    <w:rsid w:val="00E06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49"/>
    <w:rPr>
      <w:i/>
      <w:iCs/>
      <w:color w:val="0F4761" w:themeColor="accent1" w:themeShade="BF"/>
    </w:rPr>
  </w:style>
  <w:style w:type="character" w:styleId="IntenseReference">
    <w:name w:val="Intense Reference"/>
    <w:basedOn w:val="DefaultParagraphFont"/>
    <w:uiPriority w:val="32"/>
    <w:qFormat/>
    <w:rsid w:val="00E06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1843</Words>
  <Characters>10508</Characters>
  <Application>Microsoft Office Word</Application>
  <DocSecurity>0</DocSecurity>
  <Lines>87</Lines>
  <Paragraphs>24</Paragraphs>
  <ScaleCrop>false</ScaleCrop>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Presentation</dc:creator>
  <cp:keywords/>
  <dc:description/>
  <cp:lastModifiedBy>Presentation</cp:lastModifiedBy>
  <cp:revision>2</cp:revision>
  <dcterms:created xsi:type="dcterms:W3CDTF">2026-10-19T09:41:00Z</dcterms:created>
  <dcterms:modified xsi:type="dcterms:W3CDTF">2026-10-19T09:41:00Z</dcterms:modified>
</cp:coreProperties>
</file>