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279D" w14:textId="77777777" w:rsidR="00E65FB4" w:rsidRPr="00C65D2D" w:rsidRDefault="00E65FB4" w:rsidP="00E65FB4">
      <w:pPr>
        <w:spacing w:before="100" w:beforeAutospacing="1" w:after="100" w:afterAutospacing="1" w:line="240" w:lineRule="auto"/>
        <w:outlineLvl w:val="1"/>
        <w:rPr>
          <w:rFonts w:ascii="Times New Roman" w:eastAsia="Times New Roman" w:hAnsi="Times New Roman" w:cs="Times New Roman"/>
          <w:b/>
          <w:bCs/>
          <w:kern w:val="0"/>
          <w14:ligatures w14:val="none"/>
        </w:rPr>
      </w:pPr>
      <w:r>
        <w:rPr>
          <w:rFonts w:ascii="Aptos" w:hAnsi="Aptos"/>
          <w:sz w:val="21"/>
        </w:rPr>
        <w:t>MODULE 1 — FORESIGHT IMPERATIVE + CASE 1 (KODAK) + EXERCISE 1 (SLIDES 12–23)</w:t>
      </w:r>
    </w:p>
    <w:p w14:paraId="770F9829" w14:textId="77777777" w:rsidR="00741F6C" w:rsidRDefault="00000000">
      <w:pPr>
        <w:pStyle w:val="Heading1"/>
      </w:pPr>
      <w:r>
        <w:rPr>
          <w:rFonts w:ascii="Aptos" w:hAnsi="Aptos"/>
          <w:sz w:val="21"/>
        </w:rPr>
        <w:t>SLIDE 12 — THE FORESIGHT IMPERATIVE FOR BOARDS AND CEOs</w:t>
      </w:r>
    </w:p>
    <w:p w14:paraId="2C4D4CD7" w14:textId="77777777" w:rsidR="00741F6C" w:rsidRDefault="00000000">
      <w:r>
        <w:rPr>
          <w:rFonts w:ascii="Aptos" w:hAnsi="Aptos"/>
          <w:sz w:val="21"/>
        </w:rPr>
        <w:t>Boards and CEOs are responsible not only for overseeing today’s performance, but also for preparing the organisation for what may happen next. Yet board meetings can become dominated by last year’s results, current budgets, compliance reports, and other important matters that explain where the organisation has been. These are necessary, but they do not automatically prepare it for future disruption.</w:t>
      </w:r>
      <w:r>
        <w:rPr>
          <w:rFonts w:ascii="Aptos" w:hAnsi="Aptos"/>
          <w:sz w:val="21"/>
        </w:rPr>
        <w:br/>
      </w:r>
      <w:r>
        <w:rPr>
          <w:rFonts w:ascii="Aptos" w:hAnsi="Aptos"/>
          <w:sz w:val="21"/>
        </w:rPr>
        <w:br/>
        <w:t>Strategic foresight is the disciplined practice of looking ahead: scanning for emerging signals, exploring plausible futures, and considering what those futures could mean for the organisation. It is not fortune-telling and does not require leaders to predict exactly what will happen. It helps them recognise change early enough to make informed choices.</w:t>
      </w:r>
      <w:r>
        <w:rPr>
          <w:rFonts w:ascii="Aptos" w:hAnsi="Aptos"/>
          <w:sz w:val="21"/>
        </w:rPr>
        <w:br/>
      </w:r>
      <w:r>
        <w:rPr>
          <w:rFonts w:ascii="Aptos" w:hAnsi="Aptos"/>
          <w:sz w:val="21"/>
        </w:rPr>
        <w:br/>
        <w:t>For boards and CEOs, the foresight imperative means asking: What is changing in our markets, technology, regulation, customer expectations, and society? What could these changes mean for our strategy? What should we monitor, test, protect, or prepare now?</w:t>
      </w:r>
    </w:p>
    <w:p w14:paraId="2C8995F8" w14:textId="77777777" w:rsidR="00741F6C" w:rsidRDefault="00000000">
      <w:pPr>
        <w:pStyle w:val="Heading1"/>
      </w:pPr>
      <w:r>
        <w:rPr>
          <w:rFonts w:ascii="Aptos" w:hAnsi="Aptos"/>
          <w:sz w:val="21"/>
        </w:rPr>
        <w:t>SLIDE 13 — KEY TERMS, CONCEPTS AND GOVERNANCE THEORY</w:t>
      </w:r>
    </w:p>
    <w:p w14:paraId="354B17F9" w14:textId="6E6F981E" w:rsidR="00741F6C" w:rsidRDefault="00000000">
      <w:r>
        <w:rPr>
          <w:rFonts w:ascii="Aptos" w:hAnsi="Aptos"/>
          <w:sz w:val="21"/>
        </w:rPr>
        <w:t>A **signal** is an observable clue that change may be emerging—for example, a new customer behaviour, a technology prototype, or a regulatory proposal. One signal may not prove that disruption is coming, but it can justify further investigation.</w:t>
      </w:r>
      <w:r>
        <w:rPr>
          <w:rFonts w:ascii="Aptos" w:hAnsi="Aptos"/>
          <w:sz w:val="21"/>
        </w:rPr>
        <w:br/>
      </w:r>
      <w:r>
        <w:rPr>
          <w:rFonts w:ascii="Aptos" w:hAnsi="Aptos"/>
          <w:sz w:val="21"/>
        </w:rPr>
        <w:br/>
        <w:t>A **horizon** is a way of thinking about when change may affect the organisation. Horizon 1 (H1) concerns the current core business; Horizon 2 (H2) concerns emerging opportunities and transitions; Horizon 3 (H3) concerns more distant possibilities that could reshape the business. Boards should not focus only on H1, because the success of today can hide tomorrow’s vulnerability.</w:t>
      </w:r>
      <w:r>
        <w:rPr>
          <w:rFonts w:ascii="Aptos" w:hAnsi="Aptos"/>
          <w:sz w:val="21"/>
        </w:rPr>
        <w:br/>
      </w:r>
      <w:r>
        <w:rPr>
          <w:rFonts w:ascii="Aptos" w:hAnsi="Aptos"/>
          <w:sz w:val="21"/>
        </w:rPr>
        <w:br/>
        <w:t>**Fiduciary duty** refers to the board’s responsibility to act in the organisation’s best interests with due care and judgement. Foresight strengthens that responsibility by requiring directors to consider material future risks and opportunities, not just current results.</w:t>
      </w:r>
      <w:r>
        <w:rPr>
          <w:rFonts w:ascii="Aptos" w:hAnsi="Aptos"/>
          <w:sz w:val="21"/>
        </w:rPr>
        <w:br/>
      </w:r>
      <w:r>
        <w:rPr>
          <w:rFonts w:ascii="Aptos" w:hAnsi="Aptos"/>
          <w:sz w:val="21"/>
        </w:rPr>
        <w:br/>
        <w:t>The underlying idea connects with strategic foresight and scenario planning: leaders examine signals and plausible futures so they can prepare options rather than depend on a single forecast. Early attention can preserve choices; late attention can leave the organisation reacting after customers, competitors, costs, or contracts have already changed.</w:t>
      </w:r>
    </w:p>
    <w:p w14:paraId="1CE36CDF" w14:textId="77777777" w:rsidR="00741F6C" w:rsidRDefault="00000000">
      <w:pPr>
        <w:pStyle w:val="Heading1"/>
      </w:pPr>
      <w:r>
        <w:rPr>
          <w:rFonts w:ascii="Aptos" w:hAnsi="Aptos"/>
          <w:sz w:val="21"/>
        </w:rPr>
        <w:t>SLIDE 14 — HOW BOARDS TURN FORESIGHT INTO ACTION</w:t>
      </w:r>
    </w:p>
    <w:p w14:paraId="5BD47071" w14:textId="77777777" w:rsidR="00741F6C" w:rsidRDefault="00000000">
      <w:r>
        <w:rPr>
          <w:rFonts w:ascii="Aptos" w:hAnsi="Aptos"/>
          <w:sz w:val="21"/>
        </w:rPr>
        <w:t>Foresight has value only when it changes what the organisation pays attention to and what it does. Four practices help boards make it part of governance.</w:t>
      </w:r>
      <w:r>
        <w:rPr>
          <w:rFonts w:ascii="Aptos" w:hAnsi="Aptos"/>
          <w:sz w:val="21"/>
        </w:rPr>
        <w:br/>
      </w:r>
      <w:r>
        <w:rPr>
          <w:rFonts w:ascii="Aptos" w:hAnsi="Aptos"/>
          <w:sz w:val="21"/>
        </w:rPr>
        <w:br/>
        <w:t xml:space="preserve">First, **sequence is policy**: begin the meeting with a forward scan, before immediate operational </w:t>
      </w:r>
      <w:r>
        <w:rPr>
          <w:rFonts w:ascii="Aptos" w:hAnsi="Aptos"/>
          <w:sz w:val="21"/>
        </w:rPr>
        <w:lastRenderedPageBreak/>
        <w:t>matters consume the available time. Second, put future horizons on the calendar; review H2 and H3 at least annually so emerging opportunities and longer-term disruptions receive deliberate attention. Third, give each important signal a destination: decide what it means, what action or further evidence is needed, and who is responsible. Otherwise, it remains an interesting discussion point and may be forgotten.</w:t>
      </w:r>
      <w:r>
        <w:rPr>
          <w:rFonts w:ascii="Aptos" w:hAnsi="Aptos"/>
          <w:sz w:val="21"/>
        </w:rPr>
        <w:br/>
      </w:r>
      <w:r>
        <w:rPr>
          <w:rFonts w:ascii="Aptos" w:hAnsi="Aptos"/>
          <w:sz w:val="21"/>
        </w:rPr>
        <w:br/>
        <w:t>Fourth, identify the **decision point**: the moment when the board had a real choice and could have acted differently. Ask who had the information, who was authorised to raise the issue, and what prevented action.</w:t>
      </w:r>
      <w:r>
        <w:rPr>
          <w:rFonts w:ascii="Aptos" w:hAnsi="Aptos"/>
          <w:sz w:val="21"/>
        </w:rPr>
        <w:br/>
      </w:r>
      <w:r>
        <w:rPr>
          <w:rFonts w:ascii="Aptos" w:hAnsi="Aptos"/>
          <w:sz w:val="21"/>
        </w:rPr>
        <w:br/>
        <w:t>These practices support board-level strategic judgement; they do not replace financial oversight, risk management, or expert advice. They help directors connect what they notice about the future with clear decisions, named owners, and follow-up. The Kodak case that follows illustrates the cost of recognising a technological shift without building the organisational commitment to respond.</w:t>
      </w:r>
    </w:p>
    <w:p w14:paraId="7FEA7930"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15 — Module 1 concept: the foresight imperative</w:t>
      </w:r>
    </w:p>
    <w:p w14:paraId="613813FB"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Title: The Foresight Imperative for Boards and CEOs.</w:t>
      </w:r>
      <w:r>
        <w:rPr>
          <w:rFonts w:ascii="Aptos" w:hAnsi="Aptos"/>
          <w:sz w:val="21"/>
        </w:rPr>
        <w:br/>
        <w:t>Content: Board agendas often focus on last year’s results and today’s governance duties. These matters are important, but they do not necessarily prepare the organisation for what is coming. Organisations can be harmed not only by poor performance on known issues, but also by failing to notice unfamiliar risks and opportunities. Foresight is therefore part of responsible board oversight: a signal noticed early can preserve strategic choices; noticed late, it may become a loss.</w:t>
      </w:r>
    </w:p>
    <w:p w14:paraId="3F63739A"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16 — Module 1 concept: the four takeaways</w:t>
      </w:r>
    </w:p>
    <w:p w14:paraId="6556B89B"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sidRPr="00C65D2D">
        <w:rPr>
          <w:rFonts w:ascii="Aptos" w:eastAsia="Times New Roman" w:hAnsi="Aptos" w:cs="Times New Roman"/>
          <w:b/>
          <w:bCs/>
          <w:kern w:val="0"/>
          <w:sz w:val="21"/>
          <w14:ligatures w14:val="none"/>
        </w:rPr>
        <w:t>Title:</w:t>
      </w:r>
      <w:r w:rsidRPr="00C65D2D">
        <w:rPr>
          <w:rFonts w:ascii="Aptos" w:eastAsia="Times New Roman" w:hAnsi="Aptos" w:cs="Times New Roman"/>
          <w:kern w:val="0"/>
          <w:sz w:val="21"/>
          <w14:ligatures w14:val="none"/>
        </w:rPr>
        <w:t xml:space="preserve"> </w:t>
      </w:r>
      <w:r w:rsidRPr="00C65D2D">
        <w:rPr>
          <w:rFonts w:ascii="Aptos" w:eastAsia="Times New Roman" w:hAnsi="Aptos" w:cs="Times New Roman"/>
          <w:i/>
          <w:iCs/>
          <w:kern w:val="0"/>
          <w:sz w:val="21"/>
          <w14:ligatures w14:val="none"/>
        </w:rPr>
        <w:t>Four Practices Before Any Case Is Heard.</w:t>
      </w:r>
      <w:r w:rsidRPr="00C65D2D">
        <w:rPr>
          <w:rFonts w:ascii="Aptos" w:eastAsia="Times New Roman" w:hAnsi="Aptos" w:cs="Times New Roman"/>
          <w:kern w:val="0"/>
          <w:sz w:val="21"/>
          <w14:ligatures w14:val="none"/>
        </w:rPr>
        <w:br/>
      </w:r>
      <w:r w:rsidRPr="00C65D2D">
        <w:rPr>
          <w:rFonts w:ascii="Aptos" w:eastAsia="Times New Roman" w:hAnsi="Aptos" w:cs="Times New Roman"/>
          <w:b/>
          <w:bCs/>
          <w:kern w:val="0"/>
          <w:sz w:val="21"/>
          <w14:ligatures w14:val="none"/>
        </w:rPr>
        <w:t>Content (list):</w:t>
      </w:r>
    </w:p>
    <w:p w14:paraId="4AF4EE18" w14:textId="77777777" w:rsidR="00E65FB4" w:rsidRPr="00C65D2D" w:rsidRDefault="00E65FB4" w:rsidP="00E65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Sequence is policy — start the meeting with a forward scan, so emerging changes are considered before routine business takes over.</w:t>
      </w:r>
    </w:p>
    <w:p w14:paraId="315EFC1E" w14:textId="77777777" w:rsidR="00E65FB4" w:rsidRPr="00C65D2D" w:rsidRDefault="00E65FB4" w:rsidP="00E65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The horizon belongs on the calendar — at least once a year, deliberately review H2 and H3: emerging transitions and longer-term possibilities, not only the current core business.</w:t>
      </w:r>
    </w:p>
    <w:p w14:paraId="23FAC5DE" w14:textId="77777777" w:rsidR="00E65FB4" w:rsidRPr="00C65D2D" w:rsidRDefault="00E65FB4" w:rsidP="00E65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A signal without a destination is just a discussion topic. Decide what it means, what should happen next, and who owns the follow-up; otherwise, it is likely to be forgotten.</w:t>
      </w:r>
    </w:p>
    <w:p w14:paraId="6685AD9D" w14:textId="77777777" w:rsidR="00E65FB4" w:rsidRPr="00C65D2D" w:rsidRDefault="00E65FB4" w:rsidP="00E65F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Hold the decision-point question — at what exact moment did the board face a genuine choice, what options were available, and who had the authority or responsibility to raise the issue?</w:t>
      </w:r>
    </w:p>
    <w:p w14:paraId="31624351"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17 — Case 1 title</w:t>
      </w:r>
    </w:p>
    <w:p w14:paraId="21BD47C1"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sidRPr="00C65D2D">
        <w:rPr>
          <w:rFonts w:ascii="Aptos" w:eastAsia="Times New Roman" w:hAnsi="Aptos" w:cs="Times New Roman"/>
          <w:b/>
          <w:bCs/>
          <w:kern w:val="0"/>
          <w:sz w:val="21"/>
          <w14:ligatures w14:val="none"/>
        </w:rPr>
        <w:t>Title:</w:t>
      </w:r>
      <w:r w:rsidRPr="00C65D2D">
        <w:rPr>
          <w:rFonts w:ascii="Aptos" w:eastAsia="Times New Roman" w:hAnsi="Aptos" w:cs="Times New Roman"/>
          <w:kern w:val="0"/>
          <w:sz w:val="21"/>
          <w14:ligatures w14:val="none"/>
        </w:rPr>
        <w:t xml:space="preserve"> </w:t>
      </w:r>
      <w:r w:rsidRPr="00C65D2D">
        <w:rPr>
          <w:rFonts w:ascii="Aptos" w:eastAsia="Times New Roman" w:hAnsi="Aptos" w:cs="Times New Roman"/>
          <w:i/>
          <w:iCs/>
          <w:kern w:val="0"/>
          <w:sz w:val="21"/>
          <w14:ligatures w14:val="none"/>
        </w:rPr>
        <w:t>Case 1 — Kodak (USA): Knowing Is Not Doing.</w:t>
      </w:r>
      <w:r w:rsidRPr="00C65D2D">
        <w:rPr>
          <w:rFonts w:ascii="Aptos" w:eastAsia="Times New Roman" w:hAnsi="Aptos" w:cs="Times New Roman"/>
          <w:kern w:val="0"/>
          <w:sz w:val="21"/>
          <w14:ligatures w14:val="none"/>
        </w:rPr>
        <w:br/>
      </w:r>
      <w:r w:rsidRPr="00C65D2D">
        <w:rPr>
          <w:rFonts w:ascii="Aptos" w:eastAsia="Times New Roman" w:hAnsi="Aptos" w:cs="Times New Roman"/>
          <w:b/>
          <w:bCs/>
          <w:kern w:val="0"/>
          <w:sz w:val="21"/>
          <w14:ligatures w14:val="none"/>
        </w:rPr>
        <w:t>Framing:</w:t>
      </w:r>
      <w:r w:rsidRPr="00C65D2D">
        <w:rPr>
          <w:rFonts w:ascii="Aptos" w:eastAsia="Times New Roman" w:hAnsi="Aptos" w:cs="Times New Roman"/>
          <w:kern w:val="0"/>
          <w:sz w:val="21"/>
          <w14:ligatures w14:val="none"/>
        </w:rPr>
        <w:t xml:space="preserve"> </w:t>
      </w:r>
      <w:r w:rsidRPr="00C65D2D">
        <w:rPr>
          <w:rFonts w:ascii="Aptos" w:eastAsia="Times New Roman" w:hAnsi="Aptos" w:cs="Times New Roman"/>
          <w:i/>
          <w:iCs/>
          <w:kern w:val="0"/>
          <w:sz w:val="21"/>
          <w14:ligatures w14:val="none"/>
        </w:rPr>
        <w:t>The company that invented the future, patented it, and declined to build it.</w:t>
      </w:r>
    </w:p>
    <w:p w14:paraId="75767BF8"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18 — Kodak: situation and challenge</w:t>
      </w:r>
    </w:p>
    <w:p w14:paraId="5D7ED686"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Title: Kodak — Situation and Challenge.</w:t>
      </w:r>
      <w:r>
        <w:rPr>
          <w:rFonts w:ascii="Aptos" w:hAnsi="Aptos"/>
          <w:sz w:val="21"/>
        </w:rPr>
        <w:br/>
        <w:t xml:space="preserve">Content: Situation: For much of the twentieth century, Eastman Kodak was one of the world’s most </w:t>
      </w:r>
      <w:r>
        <w:rPr>
          <w:rFonts w:ascii="Aptos" w:hAnsi="Aptos"/>
          <w:sz w:val="21"/>
        </w:rPr>
        <w:lastRenderedPageBreak/>
        <w:t>admired companies. Its name was closely associated with photography, and its film business earned very high profit margins. Challenge: The threat came from inside the company, not simply from a competitor. Steven Sasson developed a digital-camera prototype in 1975, and Kodak received a patent for the technology in 1978. Management did not simply reject digital photography; rather, the company lacked a reliable way to support an invention that could undermine its highly profitable film business. Strong quarterly film earnings made it easier to postpone difficult decisions.</w:t>
      </w:r>
    </w:p>
    <w:p w14:paraId="65F8AF37"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19 — Kodak: action and result</w:t>
      </w:r>
    </w:p>
    <w:p w14:paraId="1066B756"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Title: Kodak — Action and Result.</w:t>
      </w:r>
      <w:r>
        <w:rPr>
          <w:rFonts w:ascii="Aptos" w:hAnsi="Aptos"/>
          <w:sz w:val="21"/>
        </w:rPr>
        <w:br/>
        <w:t>Content: Action: Kodak continued to protect the profits from film, kept the invention out of the centre of its business strategy, and earned licensing revenue from the patent while other companies developed and sold digital products. Result: On 19 January 2012, Kodak filed for bankruptcy with roughly $6.75 billion in debt. The case highlights the gap between owning an important invention and committing the organisation to build a business around it.</w:t>
      </w:r>
    </w:p>
    <w:p w14:paraId="4F94165D"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20 — Kodak: lessons for the boardroom</w:t>
      </w:r>
    </w:p>
    <w:p w14:paraId="7F2AC97E"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sidRPr="00C65D2D">
        <w:rPr>
          <w:rFonts w:ascii="Aptos" w:eastAsia="Times New Roman" w:hAnsi="Aptos" w:cs="Times New Roman"/>
          <w:b/>
          <w:bCs/>
          <w:kern w:val="0"/>
          <w:sz w:val="21"/>
          <w14:ligatures w14:val="none"/>
        </w:rPr>
        <w:t>Title:</w:t>
      </w:r>
      <w:r w:rsidRPr="00C65D2D">
        <w:rPr>
          <w:rFonts w:ascii="Aptos" w:eastAsia="Times New Roman" w:hAnsi="Aptos" w:cs="Times New Roman"/>
          <w:kern w:val="0"/>
          <w:sz w:val="21"/>
          <w14:ligatures w14:val="none"/>
        </w:rPr>
        <w:t xml:space="preserve"> </w:t>
      </w:r>
      <w:r w:rsidRPr="00C65D2D">
        <w:rPr>
          <w:rFonts w:ascii="Aptos" w:eastAsia="Times New Roman" w:hAnsi="Aptos" w:cs="Times New Roman"/>
          <w:i/>
          <w:iCs/>
          <w:kern w:val="0"/>
          <w:sz w:val="21"/>
          <w14:ligatures w14:val="none"/>
        </w:rPr>
        <w:t>Kodak — Lessons for the Boardroom.</w:t>
      </w:r>
      <w:r w:rsidRPr="00C65D2D">
        <w:rPr>
          <w:rFonts w:ascii="Aptos" w:eastAsia="Times New Roman" w:hAnsi="Aptos" w:cs="Times New Roman"/>
          <w:kern w:val="0"/>
          <w:sz w:val="21"/>
          <w14:ligatures w14:val="none"/>
        </w:rPr>
        <w:br/>
      </w:r>
      <w:r w:rsidRPr="00C65D2D">
        <w:rPr>
          <w:rFonts w:ascii="Aptos" w:eastAsia="Times New Roman" w:hAnsi="Aptos" w:cs="Times New Roman"/>
          <w:b/>
          <w:bCs/>
          <w:kern w:val="0"/>
          <w:sz w:val="21"/>
          <w14:ligatures w14:val="none"/>
        </w:rPr>
        <w:t>Content:</w:t>
      </w:r>
      <w:r w:rsidRPr="00C65D2D">
        <w:rPr>
          <w:rFonts w:ascii="Aptos" w:eastAsia="Times New Roman" w:hAnsi="Aptos" w:cs="Times New Roman"/>
          <w:kern w:val="0"/>
          <w:sz w:val="21"/>
          <w14:ligatures w14:val="none"/>
        </w:rPr>
        <w:t xml:space="preserve"> Four numbered lessons:</w:t>
      </w:r>
    </w:p>
    <w:p w14:paraId="2780F391" w14:textId="77777777" w:rsidR="00E65FB4" w:rsidRPr="00C65D2D" w:rsidRDefault="00E65FB4" w:rsidP="00E65F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Knowing is not doing — having a disruptive technology is not enough. The board must be willing to support it with funding, leadership attention, and a credible path to market.</w:t>
      </w:r>
    </w:p>
    <w:p w14:paraId="190CC0D8" w14:textId="77777777" w:rsidR="00E65FB4" w:rsidRPr="00C65D2D" w:rsidRDefault="00E65FB4" w:rsidP="00E65F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Uncomfortable truths need a protected route upward — boards need clear ways for staff and executives to report bad news without it being hidden, softened, or blocked on the way to the board. That reporting route must be deliberately designed; it should not depend on luck or personal courage alone.</w:t>
      </w:r>
    </w:p>
    <w:p w14:paraId="194ED6AB" w14:textId="77777777" w:rsidR="00E65FB4" w:rsidRPr="00C65D2D" w:rsidRDefault="00E65FB4" w:rsidP="00E65F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Every quarter of spectacular current earnings argues for silence — when the existing business is making strong profits, people may resist changes that could threaten those earnings. The board must weigh the future’s risks and opportunities against the benefits of protecting current performance.</w:t>
      </w:r>
    </w:p>
    <w:p w14:paraId="008E1A71"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21 — Kodak: think about this + sources</w:t>
      </w:r>
    </w:p>
    <w:p w14:paraId="66991CFE"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sidRPr="00C65D2D">
        <w:rPr>
          <w:rFonts w:ascii="Aptos" w:eastAsia="Times New Roman" w:hAnsi="Aptos" w:cs="Times New Roman"/>
          <w:b/>
          <w:bCs/>
          <w:kern w:val="0"/>
          <w:sz w:val="21"/>
          <w14:ligatures w14:val="none"/>
        </w:rPr>
        <w:t>Title:</w:t>
      </w:r>
      <w:r w:rsidRPr="00C65D2D">
        <w:rPr>
          <w:rFonts w:ascii="Aptos" w:eastAsia="Times New Roman" w:hAnsi="Aptos" w:cs="Times New Roman"/>
          <w:kern w:val="0"/>
          <w:sz w:val="21"/>
          <w14:ligatures w14:val="none"/>
        </w:rPr>
        <w:t xml:space="preserve"> </w:t>
      </w:r>
      <w:r w:rsidRPr="00C65D2D">
        <w:rPr>
          <w:rFonts w:ascii="Aptos" w:eastAsia="Times New Roman" w:hAnsi="Aptos" w:cs="Times New Roman"/>
          <w:i/>
          <w:iCs/>
          <w:kern w:val="0"/>
          <w:sz w:val="21"/>
          <w14:ligatures w14:val="none"/>
        </w:rPr>
        <w:t>Kodak — Think About This.</w:t>
      </w:r>
      <w:r w:rsidRPr="00C65D2D">
        <w:rPr>
          <w:rFonts w:ascii="Aptos" w:eastAsia="Times New Roman" w:hAnsi="Aptos" w:cs="Times New Roman"/>
          <w:kern w:val="0"/>
          <w:sz w:val="21"/>
          <w14:ligatures w14:val="none"/>
        </w:rPr>
        <w:br/>
      </w:r>
      <w:r w:rsidRPr="00C65D2D">
        <w:rPr>
          <w:rFonts w:ascii="Aptos" w:eastAsia="Times New Roman" w:hAnsi="Aptos" w:cs="Times New Roman"/>
          <w:b/>
          <w:bCs/>
          <w:kern w:val="0"/>
          <w:sz w:val="21"/>
          <w14:ligatures w14:val="none"/>
        </w:rPr>
        <w:t>Content:</w:t>
      </w:r>
      <w:r w:rsidRPr="00C65D2D">
        <w:rPr>
          <w:rFonts w:ascii="Aptos" w:eastAsia="Times New Roman" w:hAnsi="Aptos" w:cs="Times New Roman"/>
          <w:kern w:val="0"/>
          <w:sz w:val="21"/>
          <w14:ligatures w14:val="none"/>
        </w:rPr>
        <w:t xml:space="preserve"> Pull-quote: </w:t>
      </w:r>
      <w:r w:rsidRPr="00C65D2D">
        <w:rPr>
          <w:rFonts w:ascii="Aptos" w:eastAsia="Times New Roman" w:hAnsi="Aptos" w:cs="Times New Roman"/>
          <w:i/>
          <w:iCs/>
          <w:kern w:val="0"/>
          <w:sz w:val="21"/>
          <w14:ligatures w14:val="none"/>
        </w:rPr>
        <w:t>"If your organisation's own engineers had invented the thing that will disrupt you, who in your boardroom would be allowed to say so out loud — and what would happen to them?"</w:t>
      </w:r>
      <w:r w:rsidRPr="00C65D2D">
        <w:rPr>
          <w:rFonts w:ascii="Aptos" w:eastAsia="Times New Roman" w:hAnsi="Aptos" w:cs="Times New Roman"/>
          <w:kern w:val="0"/>
          <w:sz w:val="21"/>
          <w14:ligatures w14:val="none"/>
        </w:rPr>
        <w:t xml:space="preserve"> Sources: Eastman Kodak corporate and bankruptcy filings (2012); Sasson patent record (1978); standard case literature.</w:t>
      </w:r>
    </w:p>
    <w:p w14:paraId="1AFA221B"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t>Slide 22 — Exercise 1: the signal register</w:t>
      </w:r>
    </w:p>
    <w:p w14:paraId="08FB1EFC"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Title: Exercise 1 — The Signal Register (Syndicates, 4 Minutes).</w:t>
      </w:r>
      <w:r>
        <w:rPr>
          <w:rFonts w:ascii="Aptos" w:hAnsi="Aptos"/>
          <w:sz w:val="21"/>
        </w:rPr>
        <w:br/>
        <w:t>Content: In groups of four to six, create the first entry in a shared signal register—a working record of changes the organisation should pay attention to. Record one signal the organisation recognised too late in the honest column. Then record one visible signal that currently has no person responsible for it in the action column, and name an owner who will follow it up. The group will revisit this register during the scenario-planning exercise and complete it in the workbook’s Board Foresight Charter.</w:t>
      </w:r>
    </w:p>
    <w:p w14:paraId="24E04D5D" w14:textId="77777777" w:rsidR="00E65FB4" w:rsidRPr="00C65D2D" w:rsidRDefault="00E65FB4" w:rsidP="00E65FB4">
      <w:pPr>
        <w:pStyle w:val="Heading1"/>
        <w:spacing w:before="100" w:beforeAutospacing="1" w:after="100" w:afterAutospacing="1" w:line="240" w:lineRule="auto"/>
        <w:rPr>
          <w:rFonts w:ascii="Times New Roman" w:eastAsia="Times New Roman" w:hAnsi="Times New Roman" w:cs="Times New Roman"/>
          <w:b/>
          <w:bCs/>
          <w:kern w:val="0"/>
          <w14:ligatures w14:val="none"/>
        </w:rPr>
      </w:pPr>
      <w:r>
        <w:rPr>
          <w:rFonts w:ascii="Aptos" w:hAnsi="Aptos"/>
          <w:sz w:val="21"/>
        </w:rPr>
        <w:lastRenderedPageBreak/>
        <w:t>Slide 23 — Exercise 1: output, debrief and takeaway</w:t>
      </w:r>
    </w:p>
    <w:p w14:paraId="4C04BBE1" w14:textId="77777777" w:rsidR="00E65FB4" w:rsidRPr="00C65D2D" w:rsidRDefault="00E65FB4" w:rsidP="00E65FB4">
      <w:pPr>
        <w:spacing w:before="100" w:beforeAutospacing="1" w:after="100" w:afterAutospacing="1" w:line="240" w:lineRule="auto"/>
        <w:rPr>
          <w:rFonts w:ascii="Times New Roman" w:eastAsia="Times New Roman" w:hAnsi="Times New Roman" w:cs="Times New Roman"/>
          <w:kern w:val="0"/>
          <w14:ligatures w14:val="none"/>
        </w:rPr>
      </w:pPr>
      <w:r>
        <w:rPr>
          <w:rFonts w:ascii="Aptos" w:hAnsi="Aptos"/>
          <w:sz w:val="21"/>
        </w:rPr>
        <w:t>Title: Exercise 1 — Output and Debrief.</w:t>
      </w:r>
      <w:r>
        <w:rPr>
          <w:rFonts w:ascii="Aptos" w:hAnsi="Aptos"/>
          <w:sz w:val="21"/>
        </w:rPr>
        <w:br/>
        <w:t>Content: Output: Each table produces one signal register with an honest column, an action column, and a named owner. Debrief: For the signal noticed too late, ask: Was it missing from the board agenda because the organisation lacked information, or because people did not feel permitted to raise it? Takeaway: “A signal noticed early is a strategic option: it can be monitored, assessed for its implications, protected against, or rehearsed through planning. The same signal noticed late can become a loss because contracts, customers, competitors, and the organisation’s available choices may already have changed.”</w:t>
      </w:r>
    </w:p>
    <w:p w14:paraId="6CA8916F" w14:textId="77777777" w:rsidR="00AE3280" w:rsidRDefault="00AE3280"/>
    <w:sectPr w:rsidR="00AE3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B6F"/>
    <w:multiLevelType w:val="multilevel"/>
    <w:tmpl w:val="3D16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61947"/>
    <w:multiLevelType w:val="multilevel"/>
    <w:tmpl w:val="F71E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85834">
    <w:abstractNumId w:val="0"/>
  </w:num>
  <w:num w:numId="2" w16cid:durableId="48886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B4"/>
    <w:rsid w:val="003314B4"/>
    <w:rsid w:val="00554EF6"/>
    <w:rsid w:val="00651AB3"/>
    <w:rsid w:val="00741F6C"/>
    <w:rsid w:val="00AE3280"/>
    <w:rsid w:val="00B866B7"/>
    <w:rsid w:val="00C43467"/>
    <w:rsid w:val="00C51027"/>
    <w:rsid w:val="00E65FB4"/>
    <w:rsid w:val="00F37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90D3"/>
  <w15:chartTrackingRefBased/>
  <w15:docId w15:val="{ACDB333A-3B42-4F38-860E-D7BE1624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FB4"/>
  </w:style>
  <w:style w:type="paragraph" w:styleId="Heading1">
    <w:name w:val="heading 1"/>
    <w:basedOn w:val="Normal"/>
    <w:next w:val="Normal"/>
    <w:link w:val="Heading1Char"/>
    <w:uiPriority w:val="9"/>
    <w:qFormat/>
    <w:rsid w:val="00E65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FB4"/>
    <w:rPr>
      <w:rFonts w:eastAsiaTheme="majorEastAsia" w:cstheme="majorBidi"/>
      <w:color w:val="272727" w:themeColor="text1" w:themeTint="D8"/>
    </w:rPr>
  </w:style>
  <w:style w:type="paragraph" w:styleId="Title">
    <w:name w:val="Title"/>
    <w:basedOn w:val="Normal"/>
    <w:next w:val="Normal"/>
    <w:link w:val="TitleChar"/>
    <w:uiPriority w:val="10"/>
    <w:qFormat/>
    <w:rsid w:val="00E6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FB4"/>
    <w:pPr>
      <w:spacing w:before="160"/>
      <w:jc w:val="center"/>
    </w:pPr>
    <w:rPr>
      <w:i/>
      <w:iCs/>
      <w:color w:val="404040" w:themeColor="text1" w:themeTint="BF"/>
    </w:rPr>
  </w:style>
  <w:style w:type="character" w:customStyle="1" w:styleId="QuoteChar">
    <w:name w:val="Quote Char"/>
    <w:basedOn w:val="DefaultParagraphFont"/>
    <w:link w:val="Quote"/>
    <w:uiPriority w:val="29"/>
    <w:rsid w:val="00E65FB4"/>
    <w:rPr>
      <w:i/>
      <w:iCs/>
      <w:color w:val="404040" w:themeColor="text1" w:themeTint="BF"/>
    </w:rPr>
  </w:style>
  <w:style w:type="paragraph" w:styleId="ListParagraph">
    <w:name w:val="List Paragraph"/>
    <w:basedOn w:val="Normal"/>
    <w:uiPriority w:val="34"/>
    <w:qFormat/>
    <w:rsid w:val="00E65FB4"/>
    <w:pPr>
      <w:ind w:left="720"/>
      <w:contextualSpacing/>
    </w:pPr>
  </w:style>
  <w:style w:type="character" w:styleId="IntenseEmphasis">
    <w:name w:val="Intense Emphasis"/>
    <w:basedOn w:val="DefaultParagraphFont"/>
    <w:uiPriority w:val="21"/>
    <w:qFormat/>
    <w:rsid w:val="00E65FB4"/>
    <w:rPr>
      <w:i/>
      <w:iCs/>
      <w:color w:val="0F4761" w:themeColor="accent1" w:themeShade="BF"/>
    </w:rPr>
  </w:style>
  <w:style w:type="paragraph" w:styleId="IntenseQuote">
    <w:name w:val="Intense Quote"/>
    <w:basedOn w:val="Normal"/>
    <w:next w:val="Normal"/>
    <w:link w:val="IntenseQuoteChar"/>
    <w:uiPriority w:val="30"/>
    <w:qFormat/>
    <w:rsid w:val="00E65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FB4"/>
    <w:rPr>
      <w:i/>
      <w:iCs/>
      <w:color w:val="0F4761" w:themeColor="accent1" w:themeShade="BF"/>
    </w:rPr>
  </w:style>
  <w:style w:type="character" w:styleId="IntenseReference">
    <w:name w:val="Intense Reference"/>
    <w:basedOn w:val="DefaultParagraphFont"/>
    <w:uiPriority w:val="32"/>
    <w:qFormat/>
    <w:rsid w:val="00E65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1374</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Presentation</dc:creator>
  <cp:keywords/>
  <dc:description/>
  <cp:lastModifiedBy>Presentation</cp:lastModifiedBy>
  <cp:revision>2</cp:revision>
  <dcterms:created xsi:type="dcterms:W3CDTF">2026-10-19T12:12:00Z</dcterms:created>
  <dcterms:modified xsi:type="dcterms:W3CDTF">2026-10-19T22:11:00Z</dcterms:modified>
</cp:coreProperties>
</file>