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Kicker"/>
        <w:spacing w:after="160"/>
      </w:pPr>
      <w:r>
        <w:t>FRONTEND PRODUCT DESIGN SPECIFICATION</w:t>
      </w:r>
    </w:p>
    <w:p>
      <w:pPr>
        <w:pStyle w:val="DocTitle"/>
        <w:spacing w:after="100"/>
      </w:pPr>
      <w:r>
        <w:t>标策 AI 前端设计文档</w:t>
      </w:r>
    </w:p>
    <w:p>
      <w:pPr>
        <w:pStyle w:val="DocSubtitle"/>
        <w:spacing w:after="320"/>
      </w:pPr>
      <w:r>
        <w:t>页面信息架构、状态模型、组件规范、交互流程与正式版接口建议</w:t>
      </w:r>
    </w:p>
    <w:p>
      <w:pPr>
        <w:spacing w:after="40"/>
      </w:pPr>
      <w:r>
        <w:rPr>
          <w:rFonts w:ascii="Calibri" w:hAnsi="Calibri" w:eastAsia="Microsoft YaHei"/>
          <w:b/>
          <w:color w:val="1D2B26"/>
          <w:sz w:val="20"/>
        </w:rPr>
        <w:t>版本：</w:t>
      </w:r>
      <w:r>
        <w:rPr>
          <w:rFonts w:ascii="Calibri" w:hAnsi="Calibri" w:eastAsia="Microsoft YaHei"/>
          <w:color w:val="1D2B26"/>
          <w:sz w:val="20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D2B26"/>
          <w:sz w:val="20"/>
        </w:rPr>
        <w:t>状态：</w:t>
      </w:r>
      <w:r>
        <w:rPr>
          <w:rFonts w:ascii="Calibri" w:hAnsi="Calibri" w:eastAsia="Microsoft YaHei"/>
          <w:color w:val="1D2B26"/>
          <w:sz w:val="20"/>
        </w:rPr>
        <w:t>与 2026-08-11 前端 Demo 对齐</w:t>
      </w:r>
    </w:p>
    <w:p>
      <w:pPr>
        <w:spacing w:after="40"/>
      </w:pPr>
      <w:r>
        <w:rPr>
          <w:rFonts w:ascii="Calibri" w:hAnsi="Calibri" w:eastAsia="Microsoft YaHei"/>
          <w:b/>
          <w:color w:val="1D2B26"/>
          <w:sz w:val="20"/>
        </w:rPr>
        <w:t>目标：</w:t>
      </w:r>
      <w:r>
        <w:rPr>
          <w:rFonts w:ascii="Calibri" w:hAnsi="Calibri" w:eastAsia="Microsoft YaHei"/>
          <w:color w:val="1D2B26"/>
          <w:sz w:val="20"/>
        </w:rPr>
        <w:t>帮助产品、设计和研发快速理解并继续实现</w:t>
      </w:r>
    </w:p>
    <w:p>
      <w:pPr>
        <w:spacing w:after="40"/>
      </w:pPr>
      <w:r>
        <w:rPr>
          <w:rFonts w:ascii="Calibri" w:hAnsi="Calibri" w:eastAsia="Microsoft YaHei"/>
          <w:b/>
          <w:color w:val="1D2B26"/>
          <w:sz w:val="20"/>
        </w:rPr>
        <w:t>线上 Demo：</w:t>
      </w:r>
      <w:r>
        <w:rPr>
          <w:rFonts w:ascii="Calibri" w:hAnsi="Calibri" w:eastAsia="Microsoft YaHei"/>
          <w:color w:val="1D2B26"/>
          <w:sz w:val="20"/>
        </w:rPr>
        <w:t>https://bid-agent-lab-20260806.breezy-toad-2233.chatgpt.site</w:t>
      </w:r>
    </w:p>
    <w:p>
      <w:pPr>
        <w:spacing w:before="160" w:after="280"/>
        <w:pBdr>
          <w:bottom w:val="single" w:sz="14" w:space="1" w:color="315C4D"/>
        </w:pBdr>
      </w:pP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0" w:space="0" w:color="E4EEE7"/>
          <w:left w:val="single" w:sz="0" w:space="0" w:color="E4EEE7"/>
          <w:bottom w:val="single" w:sz="0" w:space="0" w:color="E4EEE7"/>
          <w:right w:val="single" w:sz="0" w:space="0" w:color="E4EEE7"/>
          <w:insideH w:val="single" w:sz="0" w:space="0" w:color="E4EEE7"/>
          <w:insideV w:val="single" w:sz="0" w:space="0" w:color="E4EEE7"/>
        </w:tblBorders>
        <w:tblInd w:w="120" w:type="dxa"/>
      </w:tblPr>
      <w:tblGrid>
        <w:gridCol w:w="9360"/>
      </w:tblGrid>
      <w:tr>
        <w:tc>
          <w:tcPr>
            <w:tcW w:type="dxa" w:w="9360"/>
            <w:shd w:fill="E4EE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315C4D"/>
                <w:sz w:val="17"/>
              </w:rPr>
              <w:t>设计主线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B26"/>
                <w:sz w:val="21"/>
              </w:rPr>
              <w:t>第一屏解释“项目规则不是统一表”；第一个工作区完成文件上传与证据匹配；只有通过门槛后，用户才进入多智能体竞标与报价优化。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快速索引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页面结构：Header + 项目 Hero + 七步流程 + 五个工作区 Tab。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首要任务：上传招标方文件和公司材料，执行模拟解析并查看匹配矩阵。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决策任务：设置成本、毛利、证据成熟度和竞争强度，运行四方竞演。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解释任务：查看规则门槛、评分证据和最终决策报告。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当前实现：单页面 React 客户端状态；正式版需拆分领域模块并接入后端任务。</w:t>
      </w:r>
    </w:p>
    <w:p>
      <w:r>
        <w:br w:type="page"/>
      </w:r>
    </w:p>
    <w:p>
      <w:pPr>
        <w:pStyle w:val="Heading1"/>
        <w:keepNext/>
      </w:pPr>
      <w:r>
        <w:t>1. 设计目标与原则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650"/>
        <w:gridCol w:w="4300"/>
        <w:gridCol w:w="34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原则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前端表达</w:t>
            </w:r>
          </w:p>
        </w:tc>
        <w:tc>
          <w:tcPr>
            <w:tcW w:type="dxa" w:w="34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避免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合规优先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门槛状态始终先于分数和概率出现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只展示“最优报价”而隐藏废标风险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项目专属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项目模板切换后规则、权重、证据与公式同步变化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固定通用权重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可追溯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规则和证据显示页码、章节、置信度与版本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无来源的模型结论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渐进披露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先给结论与缺口，再展开公式、矩阵和解释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第一屏堆满专业细节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不确定性诚实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概率标注“模拟”，异常低价标注“待审查”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使用保证性语言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协作导向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缺口可以转为待办并回流模拟</w:t>
            </w:r>
          </w:p>
        </w:tc>
        <w:tc>
          <w:tcPr>
            <w:tcW w:type="dxa" w:w="3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仅生成静态报告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信息架构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全局 Header：品牌 / 当前项目状态 / 方法边界 / 报告导出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└─ 项目 Hero：价值主张 + 项目模板 + 文件处理状态 + 上传入口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└─ 七步流程：解析 → Bid/No-Bid → 资格 → 符合性 → 评分 → 报价 → 报告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├─ Tab 1 文档上传与解析（默认）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├─ Tab 2 决策驾驶舱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├─ Tab 3 规则与门槛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├─ Tab 4 评分证据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└─ Tab 5 决策报告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导航规则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首次进入默认打开“文档上传与解析”，确保核心能力可被发现。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Hero 中的“上传并解析招标文件”可回到文档工作区。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解析结果中的“将结果带入竞标模拟”切换到决策驾驶舱，并注入门槛和成熟度状态。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项目模板切换会重置文件、解析结果、竞标参数和规则版本，避免跨项目污染。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“方法与边界”使用模态框，持续解释模型与法律边界。</w:t>
      </w:r>
    </w:p>
    <w:p>
      <w:pPr>
        <w:pStyle w:val="Heading1"/>
        <w:keepNext/>
      </w:pPr>
      <w:r>
        <w:t>3. 页面全局结构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450"/>
        <w:gridCol w:w="3500"/>
        <w:gridCol w:w="2500"/>
        <w:gridCol w:w="191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区域</w:t>
            </w:r>
          </w:p>
        </w:tc>
        <w:tc>
          <w:tcPr>
            <w:tcW w:type="dxa" w:w="3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内容</w:t>
            </w:r>
          </w:p>
        </w:tc>
        <w:tc>
          <w:tcPr>
            <w:tcW w:type="dxa" w:w="2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主要操作</w:t>
            </w:r>
          </w:p>
        </w:tc>
        <w:tc>
          <w:tcPr>
            <w:tcW w:type="dxa" w:w="19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状态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Header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品牌、规则引擎状态、项目编号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方法说明、报告导出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固定顶部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Hero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主张、原则、当前项目模板与预算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切换模板、进入上传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项目级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Workflow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七阶段业务流程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当前版本只做进度表达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全局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Tabbar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五个工作区及数量徽标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切换工作区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粘性心智导航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Workspace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上传、规则、竞演、证据或报告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完成具体任务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随 Tab 切换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Footer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Demo 边界与免责声明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无</w:t>
            </w:r>
          </w:p>
        </w:tc>
        <w:tc>
          <w:tcPr>
            <w:tcW w:type="dxa" w:w="1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全局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工作区 1：文档上传与解析</w:t>
      </w:r>
    </w:p>
    <w:p>
      <w:pPr>
        <w:pStyle w:val="Heading2"/>
        <w:keepNext/>
      </w:pPr>
      <w:r>
        <w:t>4.1 目标</w:t>
      </w:r>
    </w:p>
    <w:p>
      <w:r>
        <w:rPr>
          <w:rFonts w:ascii="Calibri" w:hAnsi="Calibri" w:eastAsia="Microsoft YaHei"/>
          <w:color w:val="1D2B26"/>
          <w:sz w:val="22"/>
        </w:rPr>
        <w:t>让用户明确区分“招标方规则源”和“本公司证据源”，完成双向上传、解析进度查看、规则确认和证据缺口判断。</w:t>
      </w:r>
    </w:p>
    <w:p>
      <w:pPr>
        <w:pStyle w:val="Heading2"/>
        <w:keepNext/>
      </w:pPr>
      <w:r>
        <w:t>4.2 页面模块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800"/>
        <w:gridCol w:w="3050"/>
        <w:gridCol w:w="2300"/>
        <w:gridCol w:w="221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模块</w:t>
            </w:r>
          </w:p>
        </w:tc>
        <w:tc>
          <w:tcPr>
            <w:tcW w:type="dxa" w:w="30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说明</w:t>
            </w:r>
          </w:p>
        </w:tc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关键交互</w:t>
            </w:r>
          </w:p>
        </w:tc>
        <w:tc>
          <w:tcPr>
            <w:tcW w:type="dxa" w:w="22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验收重点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处理边界提示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说明 Demo 不读取真实正文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无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不能误导用户已真实解析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招标方文件区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主文件、需求、评分办法、附件、更正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点击/拖拽、批量、移除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显示类型、大小、处理状态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公司材料区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资质、业绩、团队、技术、服务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点击/拖拽、批量、移除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与招标文件视觉区分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解析流水线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五类文档智能体及进度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开始、重新解析、载入演示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禁用态和阶段文案准确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规则提取卡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方法、限价、硬门槛、评分结构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进入完整规则页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显示来源与模拟置信度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匹配摘要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预计是否过门、四类覆盖率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模拟补齐、带入竞演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强制缺口必须为红色阻断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匹配矩阵</w:t>
            </w:r>
          </w:p>
        </w:tc>
        <w:tc>
          <w:tcPr>
            <w:tcW w:type="dxa" w:w="3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要求、证据、材料定位、状态、置信度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横向滚动</w:t>
            </w:r>
          </w:p>
        </w:tc>
        <w:tc>
          <w:tcPr>
            <w:tcW w:type="dxa" w:w="2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行级可追溯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上传状态模型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EMPTY ──选择/拖拽──&gt; READY ──开始解析──&gt; PARSING ──成功──&gt; DONE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↑                       │                         │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└────移除全部文件────────┘                         ├─重新解析──&gt; PARSING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                                              └─规则变更──&gt; STALE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正式版补充：UPLOADING / SCANNING / FAILED / CANCELED / STALE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文件交互规范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接受 PDF、DOC/DOCX、XLS/XLSX、PNG/JPG；正式版需要展示单文件和项目总量限制。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拖入时边框、底色和文案变化；离开或放下后恢复。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同名同大小文件在当前 Demo 去重；正式版应以哈希去重并保留版本。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解析中禁止重复提交；允许用户继续浏览其他工作区，但项目状态持续可见。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失败必须显示可操作原因：格式不支持、密码保护、扫描质量差、解析超时或权限不足。</w:t>
      </w:r>
    </w:p>
    <w:p>
      <w:pPr>
        <w:pStyle w:val="Heading1"/>
        <w:keepNext/>
      </w:pPr>
      <w:r>
        <w:t>5. 工作区 2：决策驾驶舱</w:t>
      </w:r>
    </w:p>
    <w:p>
      <w:pPr>
        <w:pStyle w:val="Heading2"/>
        <w:keepNext/>
      </w:pPr>
      <w:r>
        <w:t>5.1 左侧模拟输入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600"/>
        <w:gridCol w:w="1700"/>
        <w:gridCol w:w="3250"/>
        <w:gridCol w:w="281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输入</w:t>
            </w:r>
          </w:p>
        </w:tc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控件</w:t>
            </w:r>
          </w:p>
        </w:tc>
        <w:tc>
          <w:tcPr>
            <w:tcW w:type="dxa" w:w="32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业务含义</w:t>
            </w:r>
          </w:p>
        </w:tc>
        <w:tc>
          <w:tcPr>
            <w:tcW w:type="dxa" w:w="28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联动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我方投标总价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滑杆 + 数字输入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当前拟报价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重算价格分、利润、排名和概率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履约成本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数字输入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公司内部预计成本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重算利润底价和期望利润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最低毛利率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滑杆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公司硬约束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限定优化搜索区间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优化目标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三段按钮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胜率/期望利润/稳健收益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改变推荐报价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证据成熟度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滑杆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非价格项可验证程度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影响我方非价格得分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市场竞争强度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滑杆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竞争者报价压力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扰动 B/C/D 报价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门槛开关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三组开关</w:t>
            </w:r>
          </w:p>
        </w:tc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资格、★ 条款、低价说明</w:t>
            </w:r>
          </w:p>
        </w:tc>
        <w:tc>
          <w:tcPr>
            <w:tcW w:type="dxa" w:w="2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决定有效性与 Bid/No-Bid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结果层级</w:t>
      </w:r>
    </w:p>
    <w:p>
      <w:pPr>
        <w:pStyle w:val="ListBullet"/>
      </w:pPr>
      <w:r>
        <w:rPr>
          <w:rFonts w:ascii="Calibri" w:hAnsi="Calibri" w:eastAsia="Microsoft YaHei"/>
          <w:b/>
          <w:color w:val="1D2B26"/>
          <w:sz w:val="22"/>
        </w:rPr>
        <w:t>第一层：</w:t>
      </w:r>
      <w:r>
        <w:rPr>
          <w:rFonts w:ascii="Calibri" w:hAnsi="Calibri" w:eastAsia="Microsoft YaHei"/>
          <w:color w:val="1D2B26"/>
          <w:sz w:val="22"/>
        </w:rPr>
        <w:t>GO / REVIEW / NO BID、建议报价、模拟胜率和预计毛利。</w:t>
      </w:r>
    </w:p>
    <w:p>
      <w:pPr>
        <w:pStyle w:val="ListBullet"/>
      </w:pPr>
      <w:r>
        <w:rPr>
          <w:rFonts w:ascii="Calibri" w:hAnsi="Calibri" w:eastAsia="Microsoft YaHei"/>
          <w:b/>
          <w:color w:val="1D2B26"/>
          <w:sz w:val="22"/>
        </w:rPr>
        <w:t>第二层：</w:t>
      </w:r>
      <w:r>
        <w:rPr>
          <w:rFonts w:ascii="Calibri" w:hAnsi="Calibri" w:eastAsia="Microsoft YaHei"/>
          <w:color w:val="1D2B26"/>
          <w:sz w:val="22"/>
        </w:rPr>
        <w:t>A/B/C/D 四方卡片，展示报价、有效性、分项得分、排名和胜率。</w:t>
      </w:r>
    </w:p>
    <w:p>
      <w:pPr>
        <w:pStyle w:val="ListBullet"/>
      </w:pPr>
      <w:r>
        <w:rPr>
          <w:rFonts w:ascii="Calibri" w:hAnsi="Calibri" w:eastAsia="Microsoft YaHei"/>
          <w:b/>
          <w:color w:val="1D2B26"/>
          <w:sz w:val="22"/>
        </w:rPr>
        <w:t>第三层：</w:t>
      </w:r>
      <w:r>
        <w:rPr>
          <w:rFonts w:ascii="Calibri" w:hAnsi="Calibri" w:eastAsia="Microsoft YaHei"/>
          <w:color w:val="1D2B26"/>
          <w:sz w:val="22"/>
        </w:rPr>
        <w:t>报价—胜率—期望利润前沿图，标记当前价和建议价。</w:t>
      </w:r>
    </w:p>
    <w:p>
      <w:pPr>
        <w:pStyle w:val="ListBullet"/>
      </w:pPr>
      <w:r>
        <w:rPr>
          <w:rFonts w:ascii="Calibri" w:hAnsi="Calibri" w:eastAsia="Microsoft YaHei"/>
          <w:b/>
          <w:color w:val="1D2B26"/>
          <w:sz w:val="22"/>
        </w:rPr>
        <w:t>解释层：</w:t>
      </w:r>
      <w:r>
        <w:rPr>
          <w:rFonts w:ascii="Calibri" w:hAnsi="Calibri" w:eastAsia="Microsoft YaHei"/>
          <w:color w:val="1D2B26"/>
          <w:sz w:val="22"/>
        </w:rPr>
        <w:t>规则裁判执行顺序和每个智能体的淘汰/得分原因。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0" w:space="0" w:color="F2DDD6"/>
          <w:left w:val="single" w:sz="0" w:space="0" w:color="F2DDD6"/>
          <w:bottom w:val="single" w:sz="0" w:space="0" w:color="F2DDD6"/>
          <w:right w:val="single" w:sz="0" w:space="0" w:color="F2DDD6"/>
          <w:insideH w:val="single" w:sz="0" w:space="0" w:color="F2DDD6"/>
          <w:insideV w:val="single" w:sz="0" w:space="0" w:color="F2DDD6"/>
        </w:tblBorders>
        <w:tblInd w:w="120" w:type="dxa"/>
      </w:tblPr>
      <w:tblGrid>
        <w:gridCol w:w="9360"/>
      </w:tblGrid>
      <w:tr>
        <w:tc>
          <w:tcPr>
            <w:tcW w:type="dxa" w:w="9360"/>
            <w:shd w:fill="F2DDD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B1C1C"/>
                <w:sz w:val="17"/>
              </w:rPr>
              <w:t>视觉优先级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B26"/>
                <w:sz w:val="21"/>
              </w:rPr>
              <w:t>废标/不可行状态必须压过分数与胜率。无可行解时，建议报价、胜率和毛利显示空状态，不伪造数值。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工作区 3–5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600"/>
        <w:gridCol w:w="2500"/>
        <w:gridCol w:w="3560"/>
        <w:gridCol w:w="17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工作区</w:t>
            </w:r>
          </w:p>
        </w:tc>
        <w:tc>
          <w:tcPr>
            <w:tcW w:type="dxa" w:w="2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用户问题</w:t>
            </w:r>
          </w:p>
        </w:tc>
        <w:tc>
          <w:tcPr>
            <w:tcW w:type="dxa" w:w="35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核心模块</w:t>
            </w:r>
          </w:p>
        </w:tc>
        <w:tc>
          <w:tcPr>
            <w:tcW w:type="dxa" w:w="1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主要出口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规则与门槛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这个项目到底怎么评？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规则画像、资格/符合性清单、评分结构、公式、四方门槛矩阵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回到证据或模拟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评分证据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我方为什么能拿这些分？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证据成熟度、评分项—材料—页码—预测得分—缺口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提高成熟度、创建补缺任务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决策报告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管理层应该如何决策？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Bid/No-Bid、建议报价、依据、封标动作、风险边界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复制摘要、导出 JSON/正式报告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关键交互流程</w:t>
      </w:r>
    </w:p>
    <w:p>
      <w:pPr>
        <w:pStyle w:val="Heading2"/>
        <w:keepNext/>
      </w:pPr>
      <w:r>
        <w:t>7.1 首次使用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选择或确认项目模板。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上传招标方文件；如需判断我方资格，再上传公司材料。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开始解析，查看规则提取结果与匹配缺口。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人工确认规则；当前 Demo 可用“模拟补齐缺口”体验闭环。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将解析结果带入竞标模拟，设置成本、毛利和目标。</w:t>
      </w:r>
    </w:p>
    <w:p>
      <w:pPr>
        <w:pStyle w:val="ListNumber"/>
      </w:pPr>
      <w:r>
        <w:rPr>
          <w:rFonts w:ascii="Calibri" w:hAnsi="Calibri" w:eastAsia="Microsoft YaHei"/>
          <w:color w:val="1D2B26"/>
          <w:sz w:val="22"/>
        </w:rPr>
        <w:t>运行竞演，查看报价前沿并导出决策报告。</w:t>
      </w:r>
    </w:p>
    <w:p>
      <w:pPr>
        <w:pStyle w:val="Heading2"/>
        <w:keepNext/>
      </w:pPr>
      <w:r>
        <w:t>7.2 缺口闭环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缺口发现 → 指定责任人/截止时间 → 上传补充证据 → 重新匹配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      → 人工确认 → 更新资格/符合性状态 → 自动重跑报价模拟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项目切换</w:t>
      </w:r>
    </w:p>
    <w:p>
      <w:r>
        <w:rPr>
          <w:rFonts w:ascii="Calibri" w:hAnsi="Calibri" w:eastAsia="Microsoft YaHei"/>
          <w:color w:val="1D2B26"/>
          <w:sz w:val="22"/>
        </w:rPr>
        <w:t>切换模板会清空当前文件和解析状态，并恢复该模板默认成本、毛利和报价。正式版若存在未保存内容，应先弹出确认并允许复制为新项目。</w:t>
      </w:r>
    </w:p>
    <w:p>
      <w:pPr>
        <w:pStyle w:val="Heading1"/>
        <w:keepNext/>
      </w:pPr>
      <w:r>
        <w:t>8. 前端状态与数据映射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550"/>
        <w:gridCol w:w="2850"/>
        <w:gridCol w:w="2450"/>
        <w:gridCol w:w="251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状态域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当前变量/对象</w:t>
            </w:r>
          </w:p>
        </w:tc>
        <w:tc>
          <w:tcPr>
            <w:tcW w:type="dxa" w:w="24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影响区域</w:t>
            </w:r>
          </w:p>
        </w:tc>
        <w:tc>
          <w:tcPr>
            <w:tcW w:type="dxa" w:w="25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正式版来源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项目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projectId / ProjectTemplate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全局规则、模板和竞手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Project API + RuleVersion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文档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tenderFiles / companyFiles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上传区与数量徽标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Document API + 对象存储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parseState / progress / stage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流水线与结果可见性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ParseJob 轮询/推送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证据匹配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DocumentMatch[] / gapsClosed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覆盖率、门槛和矩阵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EvidenceMatch API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我方约束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ourBid / cost / minMargin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利润、可行区间和优化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 草稿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模型假设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readiness / marketPressure / objective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得分、竞手和推荐价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 参数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评标结果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Evaluation / AgentResult[]</w:t>
            </w:r>
          </w:p>
        </w:tc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卡片、排名、图表和报告</w:t>
            </w:r>
          </w:p>
        </w:tc>
        <w:tc>
          <w:tcPr>
            <w:tcW w:type="dxa" w:w="2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SimulationJob 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组件设计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750"/>
        <w:gridCol w:w="2850"/>
        <w:gridCol w:w="2950"/>
        <w:gridCol w:w="1810"/>
      </w:tblGrid>
      <w:tr>
        <w:trPr>
          <w:tblHeader w:val="true"/>
        </w:trPr>
        <w:tc>
          <w:tcPr>
            <w:tcW w:type="dxa" w:w="17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组件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职责</w:t>
            </w:r>
          </w:p>
        </w:tc>
        <w:tc>
          <w:tcPr>
            <w:tcW w:type="dxa" w:w="29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关键 Props/事件</w:t>
            </w:r>
          </w:p>
        </w:tc>
        <w:tc>
          <w:tcPr>
            <w:tcW w:type="dxa" w:w="18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复用位置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ProjectSelector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切换项目规则上下文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value, options, onChange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Hero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DocumentDropzone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文件选择、拖拽、校验、列表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kind, accept, files, onAdd, onRemove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招标/公司上传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AnalysisPipeline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展示任务阶段和进度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status, progress, stage, agents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文档解析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RuleSummaryCard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展示方法、限价、门槛或评分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label, value, source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解析/规则页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CoverageMetric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覆盖率与进度条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label, value, tone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匹配摘要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EvidenceMatchTable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逐条要求—证据映射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rows, filters, onReview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解析/证据页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ScenarioControls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报价与内部约束输入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scenario, onChange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驾驶舱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AgentCard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单个投标智能体结果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agent, method, rank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竞演沙盘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ScenarioChart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胜率/收益前沿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points, current, recommended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驾驶舱</w:t>
            </w:r>
          </w:p>
        </w:tc>
      </w:tr>
      <w:tr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DecisionReport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结论、依据、风险与导出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report, onExport</w:t>
            </w:r>
          </w:p>
        </w:tc>
        <w:tc>
          <w:tcPr>
            <w:tcW w:type="dxa" w:w="1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报告页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视觉系统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Token</w:t>
            </w:r>
          </w:p>
        </w:tc>
        <w:tc>
          <w:tcPr>
            <w:tcW w:type="dxa" w:w="2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当前值</w:t>
            </w:r>
          </w:p>
        </w:tc>
        <w:tc>
          <w:tcPr>
            <w:tcW w:type="dxa" w:w="48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用途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Ink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#1D2B26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导航、主文字、深色决策条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Canvas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#F1EEE6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全局暖灰背景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Paper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#FFFDF7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卡片和文档感表面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Green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#315C4D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通过、规则锁定、主曲线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Blue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#3568A8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企业证据、期望利润、信息态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Amber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#D28C3C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待审查、提醒、部分满足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Rust/Red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#C76B4F / #A8483E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缺失、不通过、淘汰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Radius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6–12 px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输入、卡片与状态标签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Body font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Noto Sans SC / 微软雅黑 / 系统字体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中文界面正文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Display font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宋体回退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主标题与决策数字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状态颜色规则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绿色只表示已通过/已满足，不用于“概率较高”这类不确定结论。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黄色表示需要审查、部分满足或不确定，不等于失败。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红色表示阻断、缺失、不通过或超限；同时提供文字和图标，不只依赖颜色。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蓝色表示信息、证据来源和辅助曲线，不参与通过/失败语义。</w:t>
      </w:r>
    </w:p>
    <w:p>
      <w:pPr>
        <w:pStyle w:val="Heading1"/>
        <w:keepNext/>
      </w:pPr>
      <w:r>
        <w:t>11. 响应式与可访问性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600"/>
        <w:gridCol w:w="4600"/>
        <w:gridCol w:w="31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断点</w:t>
            </w:r>
          </w:p>
        </w:tc>
        <w:tc>
          <w:tcPr>
            <w:tcW w:type="dxa" w:w="4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布局策略</w:t>
            </w:r>
          </w:p>
        </w:tc>
        <w:tc>
          <w:tcPr>
            <w:tcW w:type="dxa" w:w="3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注意事项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&gt; 1240 px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驾驶舱左侧控制栏 + 右侧结果；四张 Agent 卡并排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保证图表和矩阵宽度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960–1240 px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控制栏转为横向双列；Agent 卡两列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工作流和表格可横向滚动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650–960 px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上传区、规则卡和摘要改为单列/双列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主要操作保持在模块顶部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&lt; 650 px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全单列；按钮满宽；表格横向滚动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触控目标至少约 44 px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所有输入具备可见 label；文件移除按钮包含文件名 aria-label。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拖拽上传必须同时提供键盘可用的文件选择入口。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Tab、按钮、滑杆、开关和模态框具备可见焦点与合理的 Tab 顺序。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Canvas 图表提供文本化 aria-label；正式版补充数据表或摘要作为等价替代。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支持 prefers-reduced-motion；解析动画不得成为获取信息的唯一方式。</w:t>
      </w:r>
    </w:p>
    <w:p>
      <w:pPr>
        <w:pStyle w:val="Heading1"/>
        <w:keepNext/>
      </w:pPr>
      <w:r>
        <w:t>12. 当前前端技术结构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文件/层</w:t>
            </w:r>
          </w:p>
        </w:tc>
        <w:tc>
          <w:tcPr>
            <w:tcW w:type="dxa" w:w="3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当前职责</w:t>
            </w:r>
          </w:p>
        </w:tc>
        <w:tc>
          <w:tcPr>
            <w:tcW w:type="dxa" w:w="4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建议演进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app/page.tsx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模板数据、规则函数、状态、全部页面 JSX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拆分 features/documents、rules、simulation、report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app/globals.css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完整视觉系统和响应式样式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拆分 token、layout、component 样式或 CSS Modules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app/layout.tsx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中文元数据与社交预览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根据请求 Host 生成绝对 OG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前端内存状态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文件元数据、解析动画、匹配和模拟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服务端持久化 + Query 缓存 + URL/项目状态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确定性函数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evaluateScenario、优化搜索、覆盖率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提取为共享规则包并增加单元/性质测试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Canvas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胜率和期望利润曲线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封装图表组件并增加键盘/数据表替代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推荐目录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app/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page.tsx                     # 页面装配与路由上下文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features/documents/            # 上传、任务进度、规则提取、证据匹配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features/rules/                # RuleVersion、门槛、公式与版本确认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features/simulation/           # 场景输入、Agent 结果、优化和图表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features/report/               # 决策报告、导出和审批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components/ui/                 # Button、StatusTag、Card、Table、Modal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lib/contracts/                 # API 类型和 Schema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lib/rule-engine/               # 纯函数规则引擎（前后端共享）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正式版接口建议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00"/>
        <w:gridCol w:w="3550"/>
        <w:gridCol w:w="2850"/>
        <w:gridCol w:w="20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方法</w:t>
            </w:r>
          </w:p>
        </w:tc>
        <w:tc>
          <w:tcPr>
            <w:tcW w:type="dxa" w:w="35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路径</w:t>
            </w:r>
          </w:p>
        </w:tc>
        <w:tc>
          <w:tcPr>
            <w:tcW w:type="dxa" w:w="2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用途</w:t>
            </w:r>
          </w:p>
        </w:tc>
        <w:tc>
          <w:tcPr>
            <w:tcW w:type="dxa" w:w="2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前端关键状态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POST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创建投标项目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creating / ready / failed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POST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/projects/{id}/documents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初始化上传并返回签名地址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uploading / scanning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POST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/projects/{id}/parse-jobs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发起规则/证据解析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queued / running / done / failed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GET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/parse-jobs/{id}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查询阶段、进度和错误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轮询或 SSE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GET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/projects/{id}/rule-versions/latest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获取当前规则版本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draft / confirmed / stale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PATCH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/requirements/{id}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人工纠正规则并记录原因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saving / saved / conflict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GET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/projects/{id}/evidence-matches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获取匹配矩阵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loading / ready / error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POST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/projects/{id}/scenarios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运行竞标与报价优化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queued / running / ready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POST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/projects/{id}/reports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生成决策报告</w:t>
            </w:r>
          </w:p>
        </w:tc>
        <w:tc>
          <w:tcPr>
            <w:tcW w:type="dxa" w:w="2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generating / downloadable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核心响应示例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Requirement {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id, kind, text, mandatory, score, formula,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requiredEvidence[], tenderSource { documentId, page, section },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confidence, reviewStatus, ruleVersionId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}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EvidenceMatch { requirementId, evidenceId, status, confidence, rationale, reviewer }</w:t>
            </w:r>
          </w:p>
          <w:p>
            <w:pPr>
              <w:spacing w:after="40" w:line="240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ScenarioResult { validBids[], eliminatedBids[], ranking[], recommendation, assumptions[] 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错误与空状态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2200"/>
        <w:gridCol w:w="4320"/>
        <w:gridCol w:w="284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场景</w:t>
            </w:r>
          </w:p>
        </w:tc>
        <w:tc>
          <w:tcPr>
            <w:tcW w:type="dxa" w:w="43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页面反馈</w:t>
            </w:r>
          </w:p>
        </w:tc>
        <w:tc>
          <w:tcPr>
            <w:tcW w:type="dxa" w:w="284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恢复动作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未上传招标文件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解析按钮禁用并提示最低前置条件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上传文件或载入演示材料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只上传招标文件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可展示规则；证据矩阵全部标记未匹配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上传公司材料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文件不支持/加密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文件行显示错误原因，不进入解析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替换文件或输入密码后重传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解析失败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保留已上传文件和失败阶段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重试、下载错误详情或人工录入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规则有冲突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黄色阻断，展示冲突来源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人工选择有效版本并确认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强制项缺失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红色 GATE GAP，禁止绿色通过结论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补充证据或作 NO BID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利润底价高于限价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NO BID，无推荐报价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重估成本/毛利或退出项目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网络中断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保留本地草稿并提示同步状态</w:t>
            </w:r>
          </w:p>
        </w:tc>
        <w:tc>
          <w:tcPr>
            <w:tcW w:type="dxa" w:w="2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自动重连或手动重试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埋点建议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2900"/>
        <w:gridCol w:w="3000"/>
        <w:gridCol w:w="3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事件</w:t>
            </w:r>
          </w:p>
        </w:tc>
        <w:tc>
          <w:tcPr>
            <w:tcW w:type="dxa" w:w="30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触发</w:t>
            </w:r>
          </w:p>
        </w:tc>
        <w:tc>
          <w:tcPr>
            <w:tcW w:type="dxa" w:w="34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关键属性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project_template_changed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切换项目模板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from, to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document_added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添加文件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kind, extension, sizeBucket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parse_started/completed/failed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解析任务状态变化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projectId, duration, stage, errorCode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match_gap_reviewed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用户查看或确认缺口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requirementKind, status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analysis_applied_to_simulation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将匹配结果带入竞演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coverage, hardGapCount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scenario_parameter_changed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调整报价/成本/目标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field, previous, next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simulation_run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运行竞演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objective, validCount, recommendation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report_exported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导出报告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format, bidDecision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前端验收清单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首次进入能在首屏和默认 Tab 发现文档上传入口。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两类文件区视觉和语义明确，点击、拖拽、批量添加和移除均可用。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无招标文件时不能开始解析；解析中按钮状态、阶段和进度一致。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完成后展示项目方法、限价、门槛、评分结构和报价公式。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公司材料缺失时，匹配结果不得误报已满足；强制缺口使用阻断状态。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“将结果带入竞标模拟”能同步资格、符合性和证据成熟度。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切换项目模板后，文件、解析、规则和场景状态不串线。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桌面、平板、手机均可完成核心流程；表格允许横向滚动。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键盘焦点清晰、控件有标签、状态不只依赖颜色。</w:t>
      </w:r>
    </w:p>
    <w:p>
      <w:pPr>
        <w:pStyle w:val="ListBullet"/>
      </w:pPr>
      <w:r>
        <w:rPr>
          <w:rFonts w:ascii="Calibri" w:hAnsi="Calibri" w:eastAsia="Microsoft YaHei"/>
          <w:color w:val="1D2B26"/>
          <w:sz w:val="22"/>
        </w:rPr>
        <w:t>所有概率、解析和法律判断均标注模拟/待人工复核边界。</w:t>
      </w:r>
    </w:p>
    <w:p>
      <w:pPr>
        <w:pStyle w:val="Heading1"/>
        <w:keepNext/>
      </w:pPr>
      <w:r>
        <w:t>附录 A：当前 Demo 页面映射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DE2"/>
          <w:left w:val="single" w:sz="4" w:space="0" w:color="D7DDE2"/>
          <w:bottom w:val="single" w:sz="4" w:space="0" w:color="D7DDE2"/>
          <w:right w:val="single" w:sz="4" w:space="0" w:color="D7DDE2"/>
          <w:insideH w:val="single" w:sz="4" w:space="0" w:color="D7DDE2"/>
          <w:insideV w:val="single" w:sz="4" w:space="0" w:color="D7DDE2"/>
        </w:tblBorders>
        <w:tblInd w:w="120" w:type="dxa"/>
      </w:tblPr>
      <w:tblGrid>
        <w:gridCol w:w="2300"/>
        <w:gridCol w:w="2650"/>
        <w:gridCol w:w="441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页面元素</w:t>
            </w:r>
          </w:p>
        </w:tc>
        <w:tc>
          <w:tcPr>
            <w:tcW w:type="dxa" w:w="26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实现位置</w:t>
            </w:r>
          </w:p>
        </w:tc>
        <w:tc>
          <w:tcPr>
            <w:tcW w:type="dxa" w:w="44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D2B26"/>
                <w:sz w:val="18"/>
              </w:rPr>
              <w:t>备注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五个工作区与业务数据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app/page.tsx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单文件实现，便于 Demo，正式版建议拆分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项目模板与匹配模拟数据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app/page.tsx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IT 服务、设备采购、智能化工程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视觉与响应式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app/globals.css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暖纸张 + 深绿 + 蓝/黄/红状态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站点元数据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app/layout.tsx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中文标题、描述和社交预览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社交预览图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public/bid-strategy-social.png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D2B26"/>
                <w:sz w:val="18"/>
              </w:rPr>
              <w:t>四条策略路径汇入规则决策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Microsoft YaHei"/>
        <w:color w:val="6E7772"/>
        <w:sz w:val="16"/>
      </w:rPr>
      <w:t>内部评审稿 · 2026-08-11</w:t>
    </w:r>
    <w:r>
      <w:tab/>
    </w:r>
    <w:r>
      <w:rPr>
        <w:rFonts w:ascii="Calibri" w:hAnsi="Calibri" w:eastAsia="Microsoft YaHei"/>
        <w:color w:val="6E7772"/>
        <w:sz w:val="16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E77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E7772"/>
        <w:sz w:val="17"/>
      </w:rPr>
      <w:t>标策 AI 前端设计文档  |  BC-AI-FE-001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D2B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D2B2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D2B2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Kicker">
    <w:name w:val="Doc Kicker"/>
    <w:pPr>
      <w:spacing w:before="0" w:after="100" w:line="264" w:lineRule="auto"/>
    </w:pPr>
    <w:rPr>
      <w:rFonts w:ascii="Calibri" w:hAnsi="Calibri" w:eastAsia="Microsoft YaHei"/>
      <w:b/>
      <w:color w:val="2E74B5"/>
      <w:sz w:val="18"/>
    </w:rPr>
  </w:style>
  <w:style w:type="paragraph" w:customStyle="1" w:styleId="DocTitle">
    <w:name w:val="Doc Title"/>
    <w:pPr>
      <w:spacing w:before="0" w:after="100" w:line="264" w:lineRule="auto"/>
    </w:pPr>
    <w:rPr>
      <w:rFonts w:ascii="Calibri" w:hAnsi="Calibri" w:eastAsia="Microsoft YaHei"/>
      <w:b/>
      <w:color w:val="1D2B26"/>
      <w:sz w:val="50"/>
    </w:rPr>
  </w:style>
  <w:style w:type="paragraph" w:customStyle="1" w:styleId="DocSubtitle">
    <w:name w:val="Doc Subtitle"/>
    <w:pPr>
      <w:spacing w:before="0" w:after="100" w:line="264" w:lineRule="auto"/>
    </w:pPr>
    <w:rPr>
      <w:rFonts w:ascii="Calibri" w:hAnsi="Calibri" w:eastAsia="Microsoft YaHei"/>
      <w:b w:val="0"/>
      <w:color w:val="6E7772"/>
      <w:sz w:val="26"/>
    </w:rPr>
  </w:style>
  <w:style w:type="paragraph" w:customStyle="1" w:styleId="Lead">
    <w:name w:val="Lead"/>
    <w:pPr>
      <w:spacing w:before="0" w:after="100" w:line="264" w:lineRule="auto"/>
    </w:pPr>
    <w:rPr>
      <w:rFonts w:ascii="Calibri" w:hAnsi="Calibri" w:eastAsia="Microsoft YaHei"/>
      <w:b/>
      <w:color w:val="1D2B26"/>
      <w:sz w:val="24"/>
    </w:rPr>
  </w:style>
  <w:style w:type="paragraph" w:customStyle="1" w:styleId="SmallNote">
    <w:name w:val="Small Note"/>
    <w:pPr>
      <w:spacing w:before="0" w:after="100" w:line="264" w:lineRule="auto"/>
    </w:pPr>
    <w:rPr>
      <w:rFonts w:ascii="Calibri" w:hAnsi="Calibri" w:eastAsia="Microsoft YaHei"/>
      <w:b w:val="0"/>
      <w:color w:val="6E7772"/>
      <w:sz w:val="18"/>
    </w:rPr>
  </w:style>
  <w:style w:type="paragraph" w:customStyle="1" w:styleId="TableText">
    <w:name w:val="Table Text"/>
    <w:pPr>
      <w:spacing w:before="0" w:after="100" w:line="264" w:lineRule="auto"/>
    </w:pPr>
    <w:rPr>
      <w:rFonts w:ascii="Calibri" w:hAnsi="Calibri" w:eastAsia="Microsoft YaHei"/>
      <w:b w:val="0"/>
      <w:color w:val="1D2B26"/>
      <w:sz w:val="18"/>
    </w:rPr>
  </w:style>
  <w:style w:type="paragraph" w:customStyle="1" w:styleId="TableHeader">
    <w:name w:val="Table Header"/>
    <w:pPr>
      <w:spacing w:before="0" w:after="100" w:line="264" w:lineRule="auto"/>
    </w:pPr>
    <w:rPr>
      <w:rFonts w:ascii="Calibri" w:hAnsi="Calibri" w:eastAsia="Microsoft YaHei"/>
      <w:b/>
      <w:color w:val="1D2B26"/>
      <w:sz w:val="18"/>
    </w:rPr>
  </w:style>
  <w:style w:type="paragraph" w:customStyle="1" w:styleId="CodeBlock">
    <w:name w:val="Code Block"/>
    <w:pPr>
      <w:spacing w:before="0" w:after="100" w:line="264" w:lineRule="auto"/>
    </w:pPr>
    <w:rPr>
      <w:rFonts w:ascii="Consolas" w:hAnsi="Consolas" w:eastAsia="Microsoft YaHei"/>
      <w:b w:val="0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标策 AI 前端设计文档</dc:title>
  <dc:subject>标策 AI 多智能体投标决策产品文档</dc:subject>
  <dc:creator>标策 AI 项目组</dc:creator>
  <cp:keywords>投标, 评标, 多智能体, 招标文件解析, 报价优化</cp:keywords>
  <dc:description>基于 2026-08-11 前端 Demo 生成的内部评审文档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