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Kicker"/>
        <w:spacing w:after="160"/>
      </w:pPr>
      <w:r>
        <w:t>PRODUCT REQUIREMENTS DOCUMENT</w:t>
      </w:r>
    </w:p>
    <w:p>
      <w:pPr>
        <w:pStyle w:val="DocTitle"/>
        <w:spacing w:after="100"/>
      </w:pPr>
      <w:r>
        <w:t>标策 AI 产品需求文档（PRD）</w:t>
      </w:r>
    </w:p>
    <w:p>
      <w:pPr>
        <w:pStyle w:val="DocSubtitle"/>
        <w:spacing w:after="320"/>
      </w:pPr>
      <w:r>
        <w:t>合规优先的招标文件解析、企业证据匹配与多智能体投标决策系统</w:t>
      </w:r>
    </w:p>
    <w:p>
      <w:pPr>
        <w:spacing w:after="40"/>
      </w:pPr>
      <w:r>
        <w:rPr>
          <w:rFonts w:ascii="Calibri" w:hAnsi="Calibri" w:eastAsia="Microsoft YaHei"/>
          <w:b/>
          <w:color w:val="1D2B26"/>
          <w:sz w:val="20"/>
        </w:rPr>
        <w:t>版本：</w:t>
      </w:r>
      <w:r>
        <w:rPr>
          <w:rFonts w:ascii="Calibri" w:hAnsi="Calibri" w:eastAsia="Microsoft YaHei"/>
          <w:color w:val="1D2B26"/>
          <w:sz w:val="20"/>
        </w:rPr>
        <w:t>V1.0</w:t>
      </w:r>
    </w:p>
    <w:p>
      <w:pPr>
        <w:spacing w:after="40"/>
      </w:pPr>
      <w:r>
        <w:rPr>
          <w:rFonts w:ascii="Calibri" w:hAnsi="Calibri" w:eastAsia="Microsoft YaHei"/>
          <w:b/>
          <w:color w:val="1D2B26"/>
          <w:sz w:val="20"/>
        </w:rPr>
        <w:t>状态：</w:t>
      </w:r>
      <w:r>
        <w:rPr>
          <w:rFonts w:ascii="Calibri" w:hAnsi="Calibri" w:eastAsia="Microsoft YaHei"/>
          <w:color w:val="1D2B26"/>
          <w:sz w:val="20"/>
        </w:rPr>
        <w:t>内部评审稿</w:t>
      </w:r>
    </w:p>
    <w:p>
      <w:pPr>
        <w:spacing w:after="40"/>
      </w:pPr>
      <w:r>
        <w:rPr>
          <w:rFonts w:ascii="Calibri" w:hAnsi="Calibri" w:eastAsia="Microsoft YaHei"/>
          <w:b/>
          <w:color w:val="1D2B26"/>
          <w:sz w:val="20"/>
        </w:rPr>
        <w:t>基线：</w:t>
      </w:r>
      <w:r>
        <w:rPr>
          <w:rFonts w:ascii="Calibri" w:hAnsi="Calibri" w:eastAsia="Microsoft YaHei"/>
          <w:color w:val="1D2B26"/>
          <w:sz w:val="20"/>
        </w:rPr>
        <w:t>2026-08-11 已部署前端 Demo</w:t>
      </w:r>
    </w:p>
    <w:p>
      <w:pPr>
        <w:spacing w:after="40"/>
      </w:pPr>
      <w:r>
        <w:rPr>
          <w:rFonts w:ascii="Calibri" w:hAnsi="Calibri" w:eastAsia="Microsoft YaHei"/>
          <w:b/>
          <w:color w:val="1D2B26"/>
          <w:sz w:val="20"/>
        </w:rPr>
        <w:t>目标读者：</w:t>
      </w:r>
      <w:r>
        <w:rPr>
          <w:rFonts w:ascii="Calibri" w:hAnsi="Calibri" w:eastAsia="Microsoft YaHei"/>
          <w:color w:val="1D2B26"/>
          <w:sz w:val="20"/>
        </w:rPr>
        <w:t>产品、投标、技术、财务、法务与管理层</w:t>
      </w:r>
    </w:p>
    <w:p>
      <w:pPr>
        <w:spacing w:before="160" w:after="280"/>
        <w:pBdr>
          <w:bottom w:val="single" w:sz="14" w:space="1" w:color="315C4D"/>
        </w:pBdr>
      </w:pPr>
    </w:p>
    <w:tbl>
      <w:tblPr>
        <w:tblW w:type="dxa" w:w="9360"/>
        <w:tblLayout w:type="fixed"/>
        <w:tblLook w:firstColumn="1" w:firstRow="1" w:lastColumn="0" w:lastRow="0" w:noHBand="0" w:noVBand="1" w:val="04A0"/>
        <w:tblBorders>
          <w:top w:val="single" w:sz="0" w:space="0" w:color="E4EEE7"/>
          <w:left w:val="single" w:sz="0" w:space="0" w:color="E4EEE7"/>
          <w:bottom w:val="single" w:sz="0" w:space="0" w:color="E4EEE7"/>
          <w:right w:val="single" w:sz="0" w:space="0" w:color="E4EEE7"/>
          <w:insideH w:val="single" w:sz="0" w:space="0" w:color="E4EEE7"/>
          <w:insideV w:val="single" w:sz="0" w:space="0" w:color="E4EEE7"/>
        </w:tblBorders>
        <w:tblInd w:w="120" w:type="dxa"/>
      </w:tblPr>
      <w:tblGrid>
        <w:gridCol w:w="9360"/>
      </w:tblGrid>
      <w:tr>
        <w:tc>
          <w:tcPr>
            <w:tcW w:type="dxa" w:w="9360"/>
            <w:shd w:fill="E4EEE7"/>
            <w:tcMar>
              <w:top w:w="100" w:type="dxa"/>
              <w:start w:w="120" w:type="dxa"/>
              <w:bottom w:w="100" w:type="dxa"/>
              <w:end w:w="120" w:type="dxa"/>
            </w:tcMar>
            <w:vAlign w:val="center"/>
          </w:tcPr>
          <w:p>
            <w:pPr>
              <w:spacing w:after="80"/>
            </w:pPr>
            <w:r>
              <w:rPr>
                <w:rFonts w:ascii="Calibri" w:hAnsi="Calibri" w:eastAsia="Microsoft YaHei"/>
                <w:b/>
                <w:color w:val="315C4D"/>
                <w:sz w:val="17"/>
              </w:rPr>
              <w:t>产品一句话</w:t>
            </w:r>
          </w:p>
          <w:p>
            <w:pPr>
              <w:spacing w:after="0" w:line="276" w:lineRule="auto"/>
            </w:pPr>
            <w:r>
              <w:rPr>
                <w:rFonts w:ascii="Calibri" w:hAnsi="Calibri" w:eastAsia="Microsoft YaHei"/>
                <w:b/>
                <w:color w:val="1D2B26"/>
                <w:sz w:val="21"/>
              </w:rPr>
              <w:t>把每个项目的招标文件转化为可执行规则，再把公司材料转化为可验证证据，最后在合规和利润约束下模拟竞争并给出可解释的投标策略。</w:t>
            </w:r>
          </w:p>
        </w:tc>
      </w:tr>
    </w:tbl>
    <w:p>
      <w:pPr>
        <w:spacing w:after="40"/>
      </w:pPr>
    </w:p>
    <w:p>
      <w:pPr>
        <w:pStyle w:val="Heading2"/>
        <w:keepNext/>
      </w:pPr>
      <w:r>
        <w:t>30 秒读懂</w:t>
      </w:r>
    </w:p>
    <w:p>
      <w:pPr>
        <w:pStyle w:val="ListBullet"/>
      </w:pPr>
      <w:r>
        <w:rPr>
          <w:rFonts w:ascii="Calibri" w:hAnsi="Calibri" w:eastAsia="Microsoft YaHei"/>
          <w:b/>
          <w:color w:val="1D2B26"/>
          <w:sz w:val="22"/>
        </w:rPr>
        <w:t>唯一规则源：</w:t>
      </w:r>
      <w:r>
        <w:rPr>
          <w:rFonts w:ascii="Calibri" w:hAnsi="Calibri" w:eastAsia="Microsoft YaHei"/>
          <w:color w:val="1D2B26"/>
          <w:sz w:val="22"/>
        </w:rPr>
        <w:t>评标条件、权重和公式来自当前项目招标文件，不使用全国统一的“万能评分表”。</w:t>
      </w:r>
    </w:p>
    <w:p>
      <w:pPr>
        <w:pStyle w:val="ListBullet"/>
      </w:pPr>
      <w:r>
        <w:rPr>
          <w:rFonts w:ascii="Calibri" w:hAnsi="Calibri" w:eastAsia="Microsoft YaHei"/>
          <w:b/>
          <w:color w:val="1D2B26"/>
          <w:sz w:val="22"/>
        </w:rPr>
        <w:t>先门槛后评分：</w:t>
      </w:r>
      <w:r>
        <w:rPr>
          <w:rFonts w:ascii="Calibri" w:hAnsi="Calibri" w:eastAsia="Microsoft YaHei"/>
          <w:color w:val="1D2B26"/>
          <w:sz w:val="22"/>
        </w:rPr>
        <w:t>资格和实质性要求先按通过/不通过审查，有效投标才进入详细评审。</w:t>
      </w:r>
    </w:p>
    <w:p>
      <w:pPr>
        <w:pStyle w:val="ListBullet"/>
      </w:pPr>
      <w:r>
        <w:rPr>
          <w:rFonts w:ascii="Calibri" w:hAnsi="Calibri" w:eastAsia="Microsoft YaHei"/>
          <w:b/>
          <w:color w:val="1D2B26"/>
          <w:sz w:val="22"/>
        </w:rPr>
        <w:t>双向文档匹配：</w:t>
      </w:r>
      <w:r>
        <w:rPr>
          <w:rFonts w:ascii="Calibri" w:hAnsi="Calibri" w:eastAsia="Microsoft YaHei"/>
          <w:color w:val="1D2B26"/>
          <w:sz w:val="22"/>
        </w:rPr>
        <w:t>招标要求与公司资质、业绩、人员和技术材料逐条映射，输出缺口和原文位置。</w:t>
      </w:r>
    </w:p>
    <w:p>
      <w:pPr>
        <w:pStyle w:val="ListBullet"/>
      </w:pPr>
      <w:r>
        <w:rPr>
          <w:rFonts w:ascii="Calibri" w:hAnsi="Calibri" w:eastAsia="Microsoft YaHei"/>
          <w:b/>
          <w:color w:val="1D2B26"/>
          <w:sz w:val="22"/>
        </w:rPr>
        <w:t>多智能体竞演：</w:t>
      </w:r>
      <w:r>
        <w:rPr>
          <w:rFonts w:ascii="Calibri" w:hAnsi="Calibri" w:eastAsia="Microsoft YaHei"/>
          <w:color w:val="1D2B26"/>
          <w:sz w:val="22"/>
        </w:rPr>
        <w:t>A 代表我方，B/C/D 模拟不同竞争策略，确定性规则裁判负责淘汰、计分和排序。</w:t>
      </w:r>
    </w:p>
    <w:p>
      <w:pPr>
        <w:pStyle w:val="ListBullet"/>
      </w:pPr>
      <w:r>
        <w:rPr>
          <w:rFonts w:ascii="Calibri" w:hAnsi="Calibri" w:eastAsia="Microsoft YaHei"/>
          <w:b/>
          <w:color w:val="1D2B26"/>
          <w:sz w:val="22"/>
        </w:rPr>
        <w:t>不承诺中标：</w:t>
      </w:r>
      <w:r>
        <w:rPr>
          <w:rFonts w:ascii="Calibri" w:hAnsi="Calibri" w:eastAsia="Microsoft YaHei"/>
          <w:color w:val="1D2B26"/>
          <w:sz w:val="22"/>
        </w:rPr>
        <w:t>系统提高决策质量与可解释性，最终结论仍需项目负责人和评标委员会依法确认。</w:t>
      </w:r>
    </w:p>
    <w:p>
      <w:r>
        <w:br w:type="page"/>
      </w:r>
    </w:p>
    <w:p>
      <w:pPr>
        <w:pStyle w:val="Heading1"/>
        <w:keepNext/>
      </w:pPr>
      <w:r>
        <w:t>1. 产品背景与问题定义</w:t>
      </w:r>
    </w:p>
    <w:p>
      <w:pPr>
        <w:pStyle w:val="Heading2"/>
        <w:keepNext/>
      </w:pPr>
      <w:r>
        <w:t>1.1 业务背景</w:t>
      </w:r>
    </w:p>
    <w:p>
      <w:r>
        <w:rPr>
          <w:rFonts w:ascii="Calibri" w:hAnsi="Calibri" w:eastAsia="Microsoft YaHei"/>
          <w:color w:val="1D2B26"/>
          <w:sz w:val="22"/>
        </w:rPr>
        <w:t>投标决策通常同时涉及招标文件阅读、资格核验、技术响应、商务证明、成本测算和竞争报价。现实中这些信息分散在大量 PDF、Word、Excel 和扫描件中，且每个项目的资格条件、实质性要求、评分因素、权重和公式均可能不同。</w:t>
      </w:r>
    </w:p>
    <w:p>
      <w:pPr>
        <w:pStyle w:val="Heading2"/>
        <w:keepNext/>
      </w:pPr>
      <w:r>
        <w:t>1.2 核心痛点</w:t>
      </w:r>
    </w:p>
    <w:p>
      <w:pPr>
        <w:pStyle w:val="ListBullet"/>
      </w:pPr>
      <w:r>
        <w:rPr>
          <w:rFonts w:ascii="Calibri" w:hAnsi="Calibri" w:eastAsia="Microsoft YaHei"/>
          <w:color w:val="1D2B26"/>
          <w:sz w:val="22"/>
        </w:rPr>
        <w:t>人工阅读耗时，关键的 ★ 条款、废标条件和更正公告容易遗漏。</w:t>
      </w:r>
    </w:p>
    <w:p>
      <w:pPr>
        <w:pStyle w:val="ListBullet"/>
      </w:pPr>
      <w:r>
        <w:rPr>
          <w:rFonts w:ascii="Calibri" w:hAnsi="Calibri" w:eastAsia="Microsoft YaHei"/>
          <w:color w:val="1D2B26"/>
          <w:sz w:val="22"/>
        </w:rPr>
        <w:t>公司资质、业绩、人员证书和技术方案分散，难以快速判断是否满足。</w:t>
      </w:r>
    </w:p>
    <w:p>
      <w:pPr>
        <w:pStyle w:val="ListBullet"/>
      </w:pPr>
      <w:r>
        <w:rPr>
          <w:rFonts w:ascii="Calibri" w:hAnsi="Calibri" w:eastAsia="Microsoft YaHei"/>
          <w:color w:val="1D2B26"/>
          <w:sz w:val="22"/>
        </w:rPr>
        <w:t>报价优化常与合规审查、技术得分和利润底线脱节，出现“低价但不可投”或“高分但不盈利”。</w:t>
      </w:r>
    </w:p>
    <w:p>
      <w:pPr>
        <w:pStyle w:val="ListBullet"/>
      </w:pPr>
      <w:r>
        <w:rPr>
          <w:rFonts w:ascii="Calibri" w:hAnsi="Calibri" w:eastAsia="Microsoft YaHei"/>
          <w:color w:val="1D2B26"/>
          <w:sz w:val="22"/>
        </w:rPr>
        <w:t>传统模型只给结论，无法说明规则来源、证据位置、缺口责任人和不确定性。</w:t>
      </w:r>
    </w:p>
    <w:p>
      <w:pPr>
        <w:pStyle w:val="ListBullet"/>
      </w:pPr>
      <w:r>
        <w:rPr>
          <w:rFonts w:ascii="Calibri" w:hAnsi="Calibri" w:eastAsia="Microsoft YaHei"/>
          <w:color w:val="1D2B26"/>
          <w:sz w:val="22"/>
        </w:rPr>
        <w:t>不同项目评分机制不同，复用固定权重会产生合规和决策风险。</w:t>
      </w:r>
    </w:p>
    <w:p>
      <w:pPr>
        <w:pStyle w:val="Heading2"/>
        <w:keepNext/>
      </w:pPr>
      <w:r>
        <w:t>1.3 产品机会</w:t>
      </w:r>
    </w:p>
    <w:p>
      <w:r>
        <w:rPr>
          <w:rFonts w:ascii="Calibri" w:hAnsi="Calibri" w:eastAsia="Microsoft YaHei"/>
          <w:color w:val="1D2B26"/>
          <w:sz w:val="22"/>
        </w:rPr>
        <w:t>通过文档智能体、企业证据库、确定性规则引擎和竞标策略智能体组合，可以把“阅读文件—判断能否投—准备响应—选择报价—形成报告”串成一条可追溯的决策链。</w:t>
      </w:r>
    </w:p>
    <w:p>
      <w:pPr>
        <w:pStyle w:val="Heading1"/>
        <w:keepNext/>
      </w:pPr>
      <w:r>
        <w:t>2. 产品目标与非目标</w:t>
      </w:r>
    </w:p>
    <w:tbl>
      <w:tblPr>
        <w:tblW w:type="dxa" w:w="9360"/>
        <w:jc w:val="left"/>
        <w:tblLayout w:type="fixed"/>
        <w:tblLook w:firstColumn="1" w:firstRow="1" w:lastColumn="0" w:lastRow="0" w:noHBand="0" w:noVBand="1" w:val="04A0"/>
        <w:tblBorders>
          <w:top w:val="single" w:sz="4" w:space="0" w:color="D7DDE2"/>
          <w:left w:val="single" w:sz="4" w:space="0" w:color="D7DDE2"/>
          <w:bottom w:val="single" w:sz="4" w:space="0" w:color="D7DDE2"/>
          <w:right w:val="single" w:sz="4" w:space="0" w:color="D7DDE2"/>
          <w:insideH w:val="single" w:sz="4" w:space="0" w:color="D7DDE2"/>
          <w:insideV w:val="single" w:sz="4" w:space="0" w:color="D7DDE2"/>
        </w:tblBorders>
        <w:tblInd w:w="120" w:type="dxa"/>
      </w:tblPr>
      <w:tblGrid>
        <w:gridCol w:w="1150"/>
        <w:gridCol w:w="5600"/>
        <w:gridCol w:w="2610"/>
      </w:tblGrid>
      <w:tr>
        <w:trPr>
          <w:tblHeader w:val="true"/>
        </w:trPr>
        <w:tc>
          <w:tcPr>
            <w:tcW w:type="dxa" w:w="1150"/>
            <w:shd w:fill="E8EEF5"/>
            <w:vAlign w:val="center"/>
            <w:tcMar>
              <w:top w:w="100" w:type="dxa"/>
              <w:start w:w="120" w:type="dxa"/>
              <w:bottom w:w="100" w:type="dxa"/>
              <w:end w:w="120" w:type="dxa"/>
            </w:tcMar>
          </w:tcPr>
          <w:p>
            <w:pPr>
              <w:spacing w:before="20" w:after="20" w:line="252" w:lineRule="auto"/>
              <w:jc w:val="left"/>
            </w:pPr>
            <w:r>
              <w:rPr>
                <w:rFonts w:ascii="Calibri" w:hAnsi="Calibri" w:eastAsia="Microsoft YaHei"/>
                <w:b/>
                <w:color w:val="1D2B26"/>
                <w:sz w:val="18"/>
              </w:rPr>
              <w:t>类别</w:t>
            </w:r>
          </w:p>
        </w:tc>
        <w:tc>
          <w:tcPr>
            <w:tcW w:type="dxa" w:w="5600"/>
            <w:shd w:fill="E8EEF5"/>
            <w:vAlign w:val="center"/>
            <w:tcMar>
              <w:top w:w="100" w:type="dxa"/>
              <w:start w:w="120" w:type="dxa"/>
              <w:bottom w:w="100" w:type="dxa"/>
              <w:end w:w="120" w:type="dxa"/>
            </w:tcMar>
          </w:tcPr>
          <w:p>
            <w:pPr>
              <w:spacing w:before="20" w:after="20" w:line="252" w:lineRule="auto"/>
              <w:jc w:val="left"/>
            </w:pPr>
            <w:r>
              <w:rPr>
                <w:rFonts w:ascii="Calibri" w:hAnsi="Calibri" w:eastAsia="Microsoft YaHei"/>
                <w:b/>
                <w:color w:val="1D2B26"/>
                <w:sz w:val="18"/>
              </w:rPr>
              <w:t>内容</w:t>
            </w:r>
          </w:p>
        </w:tc>
        <w:tc>
          <w:tcPr>
            <w:tcW w:type="dxa" w:w="2610"/>
            <w:shd w:fill="E8EEF5"/>
            <w:vAlign w:val="center"/>
            <w:tcMar>
              <w:top w:w="100" w:type="dxa"/>
              <w:start w:w="120" w:type="dxa"/>
              <w:bottom w:w="100" w:type="dxa"/>
              <w:end w:w="120" w:type="dxa"/>
            </w:tcMar>
          </w:tcPr>
          <w:p>
            <w:pPr>
              <w:spacing w:before="20" w:after="20" w:line="252" w:lineRule="auto"/>
              <w:jc w:val="left"/>
            </w:pPr>
            <w:r>
              <w:rPr>
                <w:rFonts w:ascii="Calibri" w:hAnsi="Calibri" w:eastAsia="Microsoft YaHei"/>
                <w:b/>
                <w:color w:val="1D2B26"/>
                <w:sz w:val="18"/>
              </w:rPr>
              <w:t>衡量方式</w:t>
            </w:r>
          </w:p>
        </w:tc>
      </w:tr>
      <w:tr>
        <w:tc>
          <w:tcPr>
            <w:tcW w:type="dxa" w:w="115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目标</w:t>
            </w:r>
          </w:p>
        </w:tc>
        <w:tc>
          <w:tcPr>
            <w:tcW w:type="dxa" w:w="56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在数分钟内形成项目规则初稿和资格/技术缺口清单</w:t>
            </w:r>
          </w:p>
        </w:tc>
        <w:tc>
          <w:tcPr>
            <w:tcW w:type="dxa" w:w="261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抽取覆盖率、人工复核耗时</w:t>
            </w:r>
          </w:p>
        </w:tc>
      </w:tr>
      <w:tr>
        <w:tc>
          <w:tcPr>
            <w:tcW w:type="dxa" w:w="115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目标</w:t>
            </w:r>
          </w:p>
        </w:tc>
        <w:tc>
          <w:tcPr>
            <w:tcW w:type="dxa" w:w="56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在公司利润底线内比较多种报价策略</w:t>
            </w:r>
          </w:p>
        </w:tc>
        <w:tc>
          <w:tcPr>
            <w:tcW w:type="dxa" w:w="261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可行报价区间、胜率与期望利润</w:t>
            </w:r>
          </w:p>
        </w:tc>
      </w:tr>
      <w:tr>
        <w:tc>
          <w:tcPr>
            <w:tcW w:type="dxa" w:w="115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目标</w:t>
            </w:r>
          </w:p>
        </w:tc>
        <w:tc>
          <w:tcPr>
            <w:tcW w:type="dxa" w:w="56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每个结论均可追溯到招标条款与公司证据</w:t>
            </w:r>
          </w:p>
        </w:tc>
        <w:tc>
          <w:tcPr>
            <w:tcW w:type="dxa" w:w="261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规则/证据定位覆盖率</w:t>
            </w:r>
          </w:p>
        </w:tc>
      </w:tr>
      <w:tr>
        <w:tc>
          <w:tcPr>
            <w:tcW w:type="dxa" w:w="115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目标</w:t>
            </w:r>
          </w:p>
        </w:tc>
        <w:tc>
          <w:tcPr>
            <w:tcW w:type="dxa" w:w="56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支持投标、技术、商务、财务共同复核</w:t>
            </w:r>
          </w:p>
        </w:tc>
        <w:tc>
          <w:tcPr>
            <w:tcW w:type="dxa" w:w="261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任务闭环率、决策周期</w:t>
            </w:r>
          </w:p>
        </w:tc>
      </w:tr>
      <w:tr>
        <w:tc>
          <w:tcPr>
            <w:tcW w:type="dxa" w:w="115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非目标</w:t>
            </w:r>
          </w:p>
        </w:tc>
        <w:tc>
          <w:tcPr>
            <w:tcW w:type="dxa" w:w="56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预测或保证真实中标结果</w:t>
            </w:r>
          </w:p>
        </w:tc>
        <w:tc>
          <w:tcPr>
            <w:tcW w:type="dxa" w:w="261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页面与报告持续提示边界</w:t>
            </w:r>
          </w:p>
        </w:tc>
      </w:tr>
      <w:tr>
        <w:tc>
          <w:tcPr>
            <w:tcW w:type="dxa" w:w="115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非目标</w:t>
            </w:r>
          </w:p>
        </w:tc>
        <w:tc>
          <w:tcPr>
            <w:tcW w:type="dxa" w:w="56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替代法务、投标负责人或评标委员会判断</w:t>
            </w:r>
          </w:p>
        </w:tc>
        <w:tc>
          <w:tcPr>
            <w:tcW w:type="dxa" w:w="261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保留人工确认节点</w:t>
            </w:r>
          </w:p>
        </w:tc>
      </w:tr>
      <w:tr>
        <w:tc>
          <w:tcPr>
            <w:tcW w:type="dxa" w:w="115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非目标</w:t>
            </w:r>
          </w:p>
        </w:tc>
        <w:tc>
          <w:tcPr>
            <w:tcW w:type="dxa" w:w="56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模型自行发明评分权重或资格加分项</w:t>
            </w:r>
          </w:p>
        </w:tc>
        <w:tc>
          <w:tcPr>
            <w:tcW w:type="dxa" w:w="261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规则版本必须来自项目文件</w:t>
            </w:r>
          </w:p>
        </w:tc>
      </w:tr>
    </w:tbl>
    <w:p>
      <w:pPr>
        <w:spacing w:after="40"/>
      </w:pPr>
    </w:p>
    <w:p>
      <w:pPr>
        <w:pStyle w:val="Heading1"/>
        <w:keepNext/>
      </w:pPr>
      <w:r>
        <w:t>3. 用户与关键场景</w:t>
      </w:r>
    </w:p>
    <w:tbl>
      <w:tblPr>
        <w:tblW w:type="dxa" w:w="9360"/>
        <w:jc w:val="left"/>
        <w:tblLayout w:type="fixed"/>
        <w:tblLook w:firstColumn="1" w:firstRow="1" w:lastColumn="0" w:lastRow="0" w:noHBand="0" w:noVBand="1" w:val="04A0"/>
        <w:tblBorders>
          <w:top w:val="single" w:sz="4" w:space="0" w:color="D7DDE2"/>
          <w:left w:val="single" w:sz="4" w:space="0" w:color="D7DDE2"/>
          <w:bottom w:val="single" w:sz="4" w:space="0" w:color="D7DDE2"/>
          <w:right w:val="single" w:sz="4" w:space="0" w:color="D7DDE2"/>
          <w:insideH w:val="single" w:sz="4" w:space="0" w:color="D7DDE2"/>
          <w:insideV w:val="single" w:sz="4" w:space="0" w:color="D7DDE2"/>
        </w:tblBorders>
        <w:tblInd w:w="120" w:type="dxa"/>
      </w:tblPr>
      <w:tblGrid>
        <w:gridCol w:w="1500"/>
        <w:gridCol w:w="2600"/>
        <w:gridCol w:w="3100"/>
        <w:gridCol w:w="2160"/>
      </w:tblGrid>
      <w:tr>
        <w:trPr>
          <w:tblHeader w:val="true"/>
        </w:trPr>
        <w:tc>
          <w:tcPr>
            <w:tcW w:type="dxa" w:w="1500"/>
            <w:shd w:fill="E8EEF5"/>
            <w:vAlign w:val="center"/>
            <w:tcMar>
              <w:top w:w="100" w:type="dxa"/>
              <w:start w:w="120" w:type="dxa"/>
              <w:bottom w:w="100" w:type="dxa"/>
              <w:end w:w="120" w:type="dxa"/>
            </w:tcMar>
          </w:tcPr>
          <w:p>
            <w:pPr>
              <w:spacing w:before="20" w:after="20" w:line="252" w:lineRule="auto"/>
              <w:jc w:val="left"/>
            </w:pPr>
            <w:r>
              <w:rPr>
                <w:rFonts w:ascii="Calibri" w:hAnsi="Calibri" w:eastAsia="Microsoft YaHei"/>
                <w:b/>
                <w:color w:val="1D2B26"/>
                <w:sz w:val="18"/>
              </w:rPr>
              <w:t>角色</w:t>
            </w:r>
          </w:p>
        </w:tc>
        <w:tc>
          <w:tcPr>
            <w:tcW w:type="dxa" w:w="2600"/>
            <w:shd w:fill="E8EEF5"/>
            <w:vAlign w:val="center"/>
            <w:tcMar>
              <w:top w:w="100" w:type="dxa"/>
              <w:start w:w="120" w:type="dxa"/>
              <w:bottom w:w="100" w:type="dxa"/>
              <w:end w:w="120" w:type="dxa"/>
            </w:tcMar>
          </w:tcPr>
          <w:p>
            <w:pPr>
              <w:spacing w:before="20" w:after="20" w:line="252" w:lineRule="auto"/>
              <w:jc w:val="left"/>
            </w:pPr>
            <w:r>
              <w:rPr>
                <w:rFonts w:ascii="Calibri" w:hAnsi="Calibri" w:eastAsia="Microsoft YaHei"/>
                <w:b/>
                <w:color w:val="1D2B26"/>
                <w:sz w:val="18"/>
              </w:rPr>
              <w:t>主要任务</w:t>
            </w:r>
          </w:p>
        </w:tc>
        <w:tc>
          <w:tcPr>
            <w:tcW w:type="dxa" w:w="3100"/>
            <w:shd w:fill="E8EEF5"/>
            <w:vAlign w:val="center"/>
            <w:tcMar>
              <w:top w:w="100" w:type="dxa"/>
              <w:start w:w="120" w:type="dxa"/>
              <w:bottom w:w="100" w:type="dxa"/>
              <w:end w:w="120" w:type="dxa"/>
            </w:tcMar>
          </w:tcPr>
          <w:p>
            <w:pPr>
              <w:spacing w:before="20" w:after="20" w:line="252" w:lineRule="auto"/>
              <w:jc w:val="left"/>
            </w:pPr>
            <w:r>
              <w:rPr>
                <w:rFonts w:ascii="Calibri" w:hAnsi="Calibri" w:eastAsia="Microsoft YaHei"/>
                <w:b/>
                <w:color w:val="1D2B26"/>
                <w:sz w:val="18"/>
              </w:rPr>
              <w:t>最关心的问题</w:t>
            </w:r>
          </w:p>
        </w:tc>
        <w:tc>
          <w:tcPr>
            <w:tcW w:type="dxa" w:w="2160"/>
            <w:shd w:fill="E8EEF5"/>
            <w:vAlign w:val="center"/>
            <w:tcMar>
              <w:top w:w="100" w:type="dxa"/>
              <w:start w:w="120" w:type="dxa"/>
              <w:bottom w:w="100" w:type="dxa"/>
              <w:end w:w="120" w:type="dxa"/>
            </w:tcMar>
          </w:tcPr>
          <w:p>
            <w:pPr>
              <w:spacing w:before="20" w:after="20" w:line="252" w:lineRule="auto"/>
              <w:jc w:val="left"/>
            </w:pPr>
            <w:r>
              <w:rPr>
                <w:rFonts w:ascii="Calibri" w:hAnsi="Calibri" w:eastAsia="Microsoft YaHei"/>
                <w:b/>
                <w:color w:val="1D2B26"/>
                <w:sz w:val="18"/>
              </w:rPr>
              <w:t>核心权限</w:t>
            </w:r>
          </w:p>
        </w:tc>
      </w:tr>
      <w:tr>
        <w:tc>
          <w:tcPr>
            <w:tcW w:type="dxa" w:w="15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投标经理</w:t>
            </w:r>
          </w:p>
        </w:tc>
        <w:tc>
          <w:tcPr>
            <w:tcW w:type="dxa" w:w="26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建立项目、上传文件、协调响应</w:t>
            </w:r>
          </w:p>
        </w:tc>
        <w:tc>
          <w:tcPr>
            <w:tcW w:type="dxa" w:w="31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能不能投、缺什么、何时报价</w:t>
            </w:r>
          </w:p>
        </w:tc>
        <w:tc>
          <w:tcPr>
            <w:tcW w:type="dxa" w:w="216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项目全流程编辑</w:t>
            </w:r>
          </w:p>
        </w:tc>
      </w:tr>
      <w:tr>
        <w:tc>
          <w:tcPr>
            <w:tcW w:type="dxa" w:w="15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资质/商务专员</w:t>
            </w:r>
          </w:p>
        </w:tc>
        <w:tc>
          <w:tcPr>
            <w:tcW w:type="dxa" w:w="26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维护证照、业绩和授权材料</w:t>
            </w:r>
          </w:p>
        </w:tc>
        <w:tc>
          <w:tcPr>
            <w:tcW w:type="dxa" w:w="31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证明是否有效、是否满足格式</w:t>
            </w:r>
          </w:p>
        </w:tc>
        <w:tc>
          <w:tcPr>
            <w:tcW w:type="dxa" w:w="216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企业证据库维护</w:t>
            </w:r>
          </w:p>
        </w:tc>
      </w:tr>
      <w:tr>
        <w:tc>
          <w:tcPr>
            <w:tcW w:type="dxa" w:w="15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技术负责人</w:t>
            </w:r>
          </w:p>
        </w:tc>
        <w:tc>
          <w:tcPr>
            <w:tcW w:type="dxa" w:w="26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准备偏离表、技术方案和演示证据</w:t>
            </w:r>
          </w:p>
        </w:tc>
        <w:tc>
          <w:tcPr>
            <w:tcW w:type="dxa" w:w="31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哪些条款必须响应、预计得分</w:t>
            </w:r>
          </w:p>
        </w:tc>
        <w:tc>
          <w:tcPr>
            <w:tcW w:type="dxa" w:w="216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技术响应与评分复核</w:t>
            </w:r>
          </w:p>
        </w:tc>
      </w:tr>
      <w:tr>
        <w:tc>
          <w:tcPr>
            <w:tcW w:type="dxa" w:w="15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财务/报价负责人</w:t>
            </w:r>
          </w:p>
        </w:tc>
        <w:tc>
          <w:tcPr>
            <w:tcW w:type="dxa" w:w="26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成本测算、毛利约束和报价审批</w:t>
            </w:r>
          </w:p>
        </w:tc>
        <w:tc>
          <w:tcPr>
            <w:tcW w:type="dxa" w:w="31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利润底价、异常低价和期望收益</w:t>
            </w:r>
          </w:p>
        </w:tc>
        <w:tc>
          <w:tcPr>
            <w:tcW w:type="dxa" w:w="216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成本与报价情景</w:t>
            </w:r>
          </w:p>
        </w:tc>
      </w:tr>
      <w:tr>
        <w:tc>
          <w:tcPr>
            <w:tcW w:type="dxa" w:w="15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管理层</w:t>
            </w:r>
          </w:p>
        </w:tc>
        <w:tc>
          <w:tcPr>
            <w:tcW w:type="dxa" w:w="26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Bid/No-Bid 与最终报价决策</w:t>
            </w:r>
          </w:p>
        </w:tc>
        <w:tc>
          <w:tcPr>
            <w:tcW w:type="dxa" w:w="31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风险、胜率、收益和建议</w:t>
            </w:r>
          </w:p>
        </w:tc>
        <w:tc>
          <w:tcPr>
            <w:tcW w:type="dxa" w:w="216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查看与审批</w:t>
            </w:r>
          </w:p>
        </w:tc>
      </w:tr>
      <w:tr>
        <w:tc>
          <w:tcPr>
            <w:tcW w:type="dxa" w:w="15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法务/合规</w:t>
            </w:r>
          </w:p>
        </w:tc>
        <w:tc>
          <w:tcPr>
            <w:tcW w:type="dxa" w:w="26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复核规则、声明与风险</w:t>
            </w:r>
          </w:p>
        </w:tc>
        <w:tc>
          <w:tcPr>
            <w:tcW w:type="dxa" w:w="31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是否误读条款、是否留痕</w:t>
            </w:r>
          </w:p>
        </w:tc>
        <w:tc>
          <w:tcPr>
            <w:tcW w:type="dxa" w:w="216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规则纠正与审计</w:t>
            </w:r>
          </w:p>
        </w:tc>
      </w:tr>
    </w:tbl>
    <w:p>
      <w:pPr>
        <w:spacing w:after="40"/>
      </w:pPr>
    </w:p>
    <w:p>
      <w:pPr>
        <w:pStyle w:val="Heading1"/>
        <w:keepNext/>
      </w:pPr>
      <w:r>
        <w:t>4. 产品原则</w:t>
      </w:r>
    </w:p>
    <w:p>
      <w:pPr>
        <w:pStyle w:val="ListBullet"/>
      </w:pPr>
      <w:r>
        <w:rPr>
          <w:rFonts w:ascii="Calibri" w:hAnsi="Calibri" w:eastAsia="Microsoft YaHei"/>
          <w:b/>
          <w:color w:val="1D2B26"/>
          <w:sz w:val="22"/>
        </w:rPr>
        <w:t>项目专属：</w:t>
      </w:r>
      <w:r>
        <w:rPr>
          <w:rFonts w:ascii="Calibri" w:hAnsi="Calibri" w:eastAsia="Microsoft YaHei"/>
          <w:color w:val="1D2B26"/>
          <w:sz w:val="22"/>
        </w:rPr>
        <w:t>每次建项都重新解析规则；模板只用于初始化，不替代正式招标文件。</w:t>
      </w:r>
    </w:p>
    <w:p>
      <w:pPr>
        <w:pStyle w:val="ListBullet"/>
      </w:pPr>
      <w:r>
        <w:rPr>
          <w:rFonts w:ascii="Calibri" w:hAnsi="Calibri" w:eastAsia="Microsoft YaHei"/>
          <w:b/>
          <w:color w:val="1D2B26"/>
          <w:sz w:val="22"/>
        </w:rPr>
        <w:t>确定性裁判：</w:t>
      </w:r>
      <w:r>
        <w:rPr>
          <w:rFonts w:ascii="Calibri" w:hAnsi="Calibri" w:eastAsia="Microsoft YaHei"/>
          <w:color w:val="1D2B26"/>
          <w:sz w:val="22"/>
        </w:rPr>
        <w:t>硬门槛、限价、计分公式和排序由规则引擎执行，生成式智能体不能改写。</w:t>
      </w:r>
    </w:p>
    <w:p>
      <w:pPr>
        <w:pStyle w:val="ListBullet"/>
      </w:pPr>
      <w:r>
        <w:rPr>
          <w:rFonts w:ascii="Calibri" w:hAnsi="Calibri" w:eastAsia="Microsoft YaHei"/>
          <w:b/>
          <w:color w:val="1D2B26"/>
          <w:sz w:val="22"/>
        </w:rPr>
        <w:t>证据优先：</w:t>
      </w:r>
      <w:r>
        <w:rPr>
          <w:rFonts w:ascii="Calibri" w:hAnsi="Calibri" w:eastAsia="Microsoft YaHei"/>
          <w:color w:val="1D2B26"/>
          <w:sz w:val="22"/>
        </w:rPr>
        <w:t>能力、证书或业绩只有在招标文件列为要求且具备规定证明材料时才算满足或得分。</w:t>
      </w:r>
    </w:p>
    <w:p>
      <w:pPr>
        <w:pStyle w:val="ListBullet"/>
      </w:pPr>
      <w:r>
        <w:rPr>
          <w:rFonts w:ascii="Calibri" w:hAnsi="Calibri" w:eastAsia="Microsoft YaHei"/>
          <w:b/>
          <w:color w:val="1D2B26"/>
          <w:sz w:val="22"/>
        </w:rPr>
        <w:t>版本可追溯：</w:t>
      </w:r>
      <w:r>
        <w:rPr>
          <w:rFonts w:ascii="Calibri" w:hAnsi="Calibri" w:eastAsia="Microsoft YaHei"/>
          <w:color w:val="1D2B26"/>
          <w:sz w:val="22"/>
        </w:rPr>
        <w:t>招标更正、人工纠错和证据替换都生成版本并触发重新评估。</w:t>
      </w:r>
    </w:p>
    <w:p>
      <w:pPr>
        <w:pStyle w:val="ListBullet"/>
      </w:pPr>
      <w:r>
        <w:rPr>
          <w:rFonts w:ascii="Calibri" w:hAnsi="Calibri" w:eastAsia="Microsoft YaHei"/>
          <w:b/>
          <w:color w:val="1D2B26"/>
          <w:sz w:val="22"/>
        </w:rPr>
        <w:t>人工在环：</w:t>
      </w:r>
      <w:r>
        <w:rPr>
          <w:rFonts w:ascii="Calibri" w:hAnsi="Calibri" w:eastAsia="Microsoft YaHei"/>
          <w:color w:val="1D2B26"/>
          <w:sz w:val="22"/>
        </w:rPr>
        <w:t>高风险条款、低置信度抽取、异常低价和最终决策必须有人确认。</w:t>
      </w:r>
    </w:p>
    <w:p>
      <w:pPr>
        <w:pStyle w:val="ListBullet"/>
      </w:pPr>
      <w:r>
        <w:rPr>
          <w:rFonts w:ascii="Calibri" w:hAnsi="Calibri" w:eastAsia="Microsoft YaHei"/>
          <w:b/>
          <w:color w:val="1D2B26"/>
          <w:sz w:val="22"/>
        </w:rPr>
        <w:t>概率非承诺：</w:t>
      </w:r>
      <w:r>
        <w:rPr>
          <w:rFonts w:ascii="Calibri" w:hAnsi="Calibri" w:eastAsia="Microsoft YaHei"/>
          <w:color w:val="1D2B26"/>
          <w:sz w:val="22"/>
        </w:rPr>
        <w:t>胜出概率是模拟结果，必须展示假设、竞争者画像与敏感性。</w:t>
      </w:r>
    </w:p>
    <w:tbl>
      <w:tblPr>
        <w:tblW w:type="dxa" w:w="9360"/>
        <w:tblLayout w:type="fixed"/>
        <w:tblLook w:firstColumn="1" w:firstRow="1" w:lastColumn="0" w:lastRow="0" w:noHBand="0" w:noVBand="1" w:val="04A0"/>
        <w:tblBorders>
          <w:top w:val="single" w:sz="0" w:space="0" w:color="F5E8D4"/>
          <w:left w:val="single" w:sz="0" w:space="0" w:color="F5E8D4"/>
          <w:bottom w:val="single" w:sz="0" w:space="0" w:color="F5E8D4"/>
          <w:right w:val="single" w:sz="0" w:space="0" w:color="F5E8D4"/>
          <w:insideH w:val="single" w:sz="0" w:space="0" w:color="F5E8D4"/>
          <w:insideV w:val="single" w:sz="0" w:space="0" w:color="F5E8D4"/>
        </w:tblBorders>
        <w:tblInd w:w="120" w:type="dxa"/>
      </w:tblPr>
      <w:tblGrid>
        <w:gridCol w:w="9360"/>
      </w:tblGrid>
      <w:tr>
        <w:tc>
          <w:tcPr>
            <w:tcW w:type="dxa" w:w="9360"/>
            <w:shd w:fill="F5E8D4"/>
            <w:tcMar>
              <w:top w:w="100" w:type="dxa"/>
              <w:start w:w="120" w:type="dxa"/>
              <w:bottom w:w="100" w:type="dxa"/>
              <w:end w:w="120" w:type="dxa"/>
            </w:tcMar>
            <w:vAlign w:val="center"/>
          </w:tcPr>
          <w:p>
            <w:pPr>
              <w:spacing w:after="80"/>
            </w:pPr>
            <w:r>
              <w:rPr>
                <w:rFonts w:ascii="Calibri" w:hAnsi="Calibri" w:eastAsia="Microsoft YaHei"/>
                <w:b/>
                <w:color w:val="7A5A00"/>
                <w:sz w:val="17"/>
              </w:rPr>
              <w:t>不可违反的顺序</w:t>
            </w:r>
          </w:p>
          <w:p>
            <w:pPr>
              <w:spacing w:after="0" w:line="276" w:lineRule="auto"/>
            </w:pPr>
            <w:r>
              <w:rPr>
                <w:rFonts w:ascii="Calibri" w:hAnsi="Calibri" w:eastAsia="Microsoft YaHei"/>
                <w:b/>
                <w:color w:val="1D2B26"/>
                <w:sz w:val="21"/>
              </w:rPr>
              <w:t>招标文件解析 → Bid/No-Bid → 资格审查 → 符合性审查 → 异常低价审查 → 详细评审 → 报价优化 → 候选与报告。</w:t>
            </w:r>
          </w:p>
        </w:tc>
      </w:tr>
    </w:tbl>
    <w:p>
      <w:pPr>
        <w:spacing w:after="40"/>
      </w:pPr>
    </w:p>
    <w:p>
      <w:pPr>
        <w:pStyle w:val="Heading1"/>
        <w:keepNext/>
      </w:pPr>
      <w:r>
        <w:t>5. 端到端业务流程</w:t>
      </w:r>
    </w:p>
    <w:p>
      <w:pPr>
        <w:pStyle w:val="ListNumber"/>
      </w:pPr>
      <w:r>
        <w:rPr>
          <w:rFonts w:ascii="Calibri" w:hAnsi="Calibri" w:eastAsia="Microsoft YaHei"/>
          <w:b/>
          <w:color w:val="1D2B26"/>
          <w:sz w:val="22"/>
        </w:rPr>
        <w:t>步骤 1：创建项目与上传文件。</w:t>
      </w:r>
      <w:r>
        <w:rPr>
          <w:rFonts w:ascii="Calibri" w:hAnsi="Calibri" w:eastAsia="Microsoft YaHei"/>
          <w:color w:val="1D2B26"/>
          <w:sz w:val="22"/>
        </w:rPr>
        <w:t xml:space="preserve"> 上传招标主文件、采购需求、评分办法、附件和更正公告。</w:t>
      </w:r>
    </w:p>
    <w:p>
      <w:pPr>
        <w:pStyle w:val="ListNumber"/>
      </w:pPr>
      <w:r>
        <w:rPr>
          <w:rFonts w:ascii="Calibri" w:hAnsi="Calibri" w:eastAsia="Microsoft YaHei"/>
          <w:b/>
          <w:color w:val="1D2B26"/>
          <w:sz w:val="22"/>
        </w:rPr>
        <w:t>步骤 2：抽取并锁定规则。</w:t>
      </w:r>
      <w:r>
        <w:rPr>
          <w:rFonts w:ascii="Calibri" w:hAnsi="Calibri" w:eastAsia="Microsoft YaHei"/>
          <w:color w:val="1D2B26"/>
          <w:sz w:val="22"/>
        </w:rPr>
        <w:t xml:space="preserve"> 识别资格条件、实质性要求、评分项、权重、公式、最高限价和证明要求。</w:t>
      </w:r>
    </w:p>
    <w:p>
      <w:pPr>
        <w:pStyle w:val="ListNumber"/>
      </w:pPr>
      <w:r>
        <w:rPr>
          <w:rFonts w:ascii="Calibri" w:hAnsi="Calibri" w:eastAsia="Microsoft YaHei"/>
          <w:b/>
          <w:color w:val="1D2B26"/>
          <w:sz w:val="22"/>
        </w:rPr>
        <w:t>步骤 3：接入公司材料。</w:t>
      </w:r>
      <w:r>
        <w:rPr>
          <w:rFonts w:ascii="Calibri" w:hAnsi="Calibri" w:eastAsia="Microsoft YaHei"/>
          <w:color w:val="1D2B26"/>
          <w:sz w:val="22"/>
        </w:rPr>
        <w:t xml:space="preserve"> 上传或复用营业执照、资质、证书、业绩、人员、技术和服务材料。</w:t>
      </w:r>
    </w:p>
    <w:p>
      <w:pPr>
        <w:pStyle w:val="ListNumber"/>
      </w:pPr>
      <w:r>
        <w:rPr>
          <w:rFonts w:ascii="Calibri" w:hAnsi="Calibri" w:eastAsia="Microsoft YaHei"/>
          <w:b/>
          <w:color w:val="1D2B26"/>
          <w:sz w:val="22"/>
        </w:rPr>
        <w:t>步骤 4：执行证据匹配。</w:t>
      </w:r>
      <w:r>
        <w:rPr>
          <w:rFonts w:ascii="Calibri" w:hAnsi="Calibri" w:eastAsia="Microsoft YaHei"/>
          <w:color w:val="1D2B26"/>
          <w:sz w:val="22"/>
        </w:rPr>
        <w:t xml:space="preserve"> 逐条输出已满足、部分满足、缺失、置信度及双向原文定位。</w:t>
      </w:r>
    </w:p>
    <w:p>
      <w:pPr>
        <w:pStyle w:val="ListNumber"/>
      </w:pPr>
      <w:r>
        <w:rPr>
          <w:rFonts w:ascii="Calibri" w:hAnsi="Calibri" w:eastAsia="Microsoft YaHei"/>
          <w:b/>
          <w:color w:val="1D2B26"/>
          <w:sz w:val="22"/>
        </w:rPr>
        <w:t>步骤 5：作出 Bid/No-Bid。</w:t>
      </w:r>
      <w:r>
        <w:rPr>
          <w:rFonts w:ascii="Calibri" w:hAnsi="Calibri" w:eastAsia="Microsoft YaHei"/>
          <w:color w:val="1D2B26"/>
          <w:sz w:val="22"/>
        </w:rPr>
        <w:t xml:space="preserve"> 先判断门槛、工期、资源、成本和利润可行性，再决定是否参与。</w:t>
      </w:r>
    </w:p>
    <w:p>
      <w:pPr>
        <w:pStyle w:val="ListNumber"/>
      </w:pPr>
      <w:r>
        <w:rPr>
          <w:rFonts w:ascii="Calibri" w:hAnsi="Calibri" w:eastAsia="Microsoft YaHei"/>
          <w:b/>
          <w:color w:val="1D2B26"/>
          <w:sz w:val="22"/>
        </w:rPr>
        <w:t>步骤 6：运行多智能体竞演。</w:t>
      </w:r>
      <w:r>
        <w:rPr>
          <w:rFonts w:ascii="Calibri" w:hAnsi="Calibri" w:eastAsia="Microsoft YaHei"/>
          <w:color w:val="1D2B26"/>
          <w:sz w:val="22"/>
        </w:rPr>
        <w:t xml:space="preserve"> 模拟我方与不同竞争策略，规则裁判执行淘汰、计分、排名和概率映射。</w:t>
      </w:r>
    </w:p>
    <w:p>
      <w:pPr>
        <w:pStyle w:val="ListNumber"/>
      </w:pPr>
      <w:r>
        <w:rPr>
          <w:rFonts w:ascii="Calibri" w:hAnsi="Calibri" w:eastAsia="Microsoft YaHei"/>
          <w:b/>
          <w:color w:val="1D2B26"/>
          <w:sz w:val="22"/>
        </w:rPr>
        <w:t>步骤 7：优化报价并出报告。</w:t>
      </w:r>
      <w:r>
        <w:rPr>
          <w:rFonts w:ascii="Calibri" w:hAnsi="Calibri" w:eastAsia="Microsoft YaHei"/>
          <w:color w:val="1D2B26"/>
          <w:sz w:val="22"/>
        </w:rPr>
        <w:t xml:space="preserve"> 按中标概率、期望利润或稳健收益目标搜索报价，生成审批与封标待办。</w:t>
      </w:r>
    </w:p>
    <w:p>
      <w:pPr>
        <w:pStyle w:val="Heading1"/>
        <w:keepNext/>
      </w:pPr>
      <w:r>
        <w:t>6. 功能需求</w:t>
      </w:r>
    </w:p>
    <w:tbl>
      <w:tblPr>
        <w:tblW w:type="dxa" w:w="9360"/>
        <w:jc w:val="left"/>
        <w:tblLayout w:type="fixed"/>
        <w:tblLook w:firstColumn="1" w:firstRow="1" w:lastColumn="0" w:lastRow="0" w:noHBand="0" w:noVBand="1" w:val="04A0"/>
        <w:tblBorders>
          <w:top w:val="single" w:sz="4" w:space="0" w:color="D7DDE2"/>
          <w:left w:val="single" w:sz="4" w:space="0" w:color="D7DDE2"/>
          <w:bottom w:val="single" w:sz="4" w:space="0" w:color="D7DDE2"/>
          <w:right w:val="single" w:sz="4" w:space="0" w:color="D7DDE2"/>
          <w:insideH w:val="single" w:sz="4" w:space="0" w:color="D7DDE2"/>
          <w:insideV w:val="single" w:sz="4" w:space="0" w:color="D7DDE2"/>
        </w:tblBorders>
        <w:tblInd w:w="120" w:type="dxa"/>
      </w:tblPr>
      <w:tblGrid>
        <w:gridCol w:w="820"/>
        <w:gridCol w:w="1540"/>
        <w:gridCol w:w="4380"/>
        <w:gridCol w:w="900"/>
        <w:gridCol w:w="1720"/>
      </w:tblGrid>
      <w:tr>
        <w:trPr>
          <w:tblHeader w:val="true"/>
        </w:trPr>
        <w:tc>
          <w:tcPr>
            <w:tcW w:type="dxa" w:w="820"/>
            <w:shd w:fill="E8EEF5"/>
            <w:vAlign w:val="center"/>
            <w:tcMar>
              <w:top w:w="100" w:type="dxa"/>
              <w:start w:w="120" w:type="dxa"/>
              <w:bottom w:w="100" w:type="dxa"/>
              <w:end w:w="120" w:type="dxa"/>
            </w:tcMar>
          </w:tcPr>
          <w:p>
            <w:pPr>
              <w:spacing w:before="20" w:after="20" w:line="252" w:lineRule="auto"/>
              <w:jc w:val="left"/>
            </w:pPr>
            <w:r>
              <w:rPr>
                <w:rFonts w:ascii="Calibri" w:hAnsi="Calibri" w:eastAsia="Microsoft YaHei"/>
                <w:b/>
                <w:color w:val="1D2B26"/>
                <w:sz w:val="18"/>
              </w:rPr>
              <w:t>编号</w:t>
            </w:r>
          </w:p>
        </w:tc>
        <w:tc>
          <w:tcPr>
            <w:tcW w:type="dxa" w:w="1540"/>
            <w:shd w:fill="E8EEF5"/>
            <w:vAlign w:val="center"/>
            <w:tcMar>
              <w:top w:w="100" w:type="dxa"/>
              <w:start w:w="120" w:type="dxa"/>
              <w:bottom w:w="100" w:type="dxa"/>
              <w:end w:w="120" w:type="dxa"/>
            </w:tcMar>
          </w:tcPr>
          <w:p>
            <w:pPr>
              <w:spacing w:before="20" w:after="20" w:line="252" w:lineRule="auto"/>
              <w:jc w:val="left"/>
            </w:pPr>
            <w:r>
              <w:rPr>
                <w:rFonts w:ascii="Calibri" w:hAnsi="Calibri" w:eastAsia="Microsoft YaHei"/>
                <w:b/>
                <w:color w:val="1D2B26"/>
                <w:sz w:val="18"/>
              </w:rPr>
              <w:t>模块</w:t>
            </w:r>
          </w:p>
        </w:tc>
        <w:tc>
          <w:tcPr>
            <w:tcW w:type="dxa" w:w="4380"/>
            <w:shd w:fill="E8EEF5"/>
            <w:vAlign w:val="center"/>
            <w:tcMar>
              <w:top w:w="100" w:type="dxa"/>
              <w:start w:w="120" w:type="dxa"/>
              <w:bottom w:w="100" w:type="dxa"/>
              <w:end w:w="120" w:type="dxa"/>
            </w:tcMar>
          </w:tcPr>
          <w:p>
            <w:pPr>
              <w:spacing w:before="20" w:after="20" w:line="252" w:lineRule="auto"/>
              <w:jc w:val="left"/>
            </w:pPr>
            <w:r>
              <w:rPr>
                <w:rFonts w:ascii="Calibri" w:hAnsi="Calibri" w:eastAsia="Microsoft YaHei"/>
                <w:b/>
                <w:color w:val="1D2B26"/>
                <w:sz w:val="18"/>
              </w:rPr>
              <w:t>需求摘要</w:t>
            </w:r>
          </w:p>
        </w:tc>
        <w:tc>
          <w:tcPr>
            <w:tcW w:type="dxa" w:w="900"/>
            <w:shd w:fill="E8EEF5"/>
            <w:vAlign w:val="center"/>
            <w:tcMar>
              <w:top w:w="100" w:type="dxa"/>
              <w:start w:w="120" w:type="dxa"/>
              <w:bottom w:w="100" w:type="dxa"/>
              <w:end w:w="120" w:type="dxa"/>
            </w:tcMar>
          </w:tcPr>
          <w:p>
            <w:pPr>
              <w:spacing w:before="20" w:after="20" w:line="252" w:lineRule="auto"/>
              <w:jc w:val="center"/>
            </w:pPr>
            <w:r>
              <w:rPr>
                <w:rFonts w:ascii="Calibri" w:hAnsi="Calibri" w:eastAsia="Microsoft YaHei"/>
                <w:b/>
                <w:color w:val="1D2B26"/>
                <w:sz w:val="18"/>
              </w:rPr>
              <w:t>优先级</w:t>
            </w:r>
          </w:p>
        </w:tc>
        <w:tc>
          <w:tcPr>
            <w:tcW w:type="dxa" w:w="1720"/>
            <w:shd w:fill="E8EEF5"/>
            <w:vAlign w:val="center"/>
            <w:tcMar>
              <w:top w:w="100" w:type="dxa"/>
              <w:start w:w="120" w:type="dxa"/>
              <w:bottom w:w="100" w:type="dxa"/>
              <w:end w:w="120" w:type="dxa"/>
            </w:tcMar>
          </w:tcPr>
          <w:p>
            <w:pPr>
              <w:spacing w:before="20" w:after="20" w:line="252" w:lineRule="auto"/>
              <w:jc w:val="center"/>
            </w:pPr>
            <w:r>
              <w:rPr>
                <w:rFonts w:ascii="Calibri" w:hAnsi="Calibri" w:eastAsia="Microsoft YaHei"/>
                <w:b/>
                <w:color w:val="1D2B26"/>
                <w:sz w:val="18"/>
              </w:rPr>
              <w:t>Demo 状态</w:t>
            </w:r>
          </w:p>
        </w:tc>
      </w:tr>
      <w:tr>
        <w:tc>
          <w:tcPr>
            <w:tcW w:type="dxa" w:w="82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FR-01</w:t>
            </w:r>
          </w:p>
        </w:tc>
        <w:tc>
          <w:tcPr>
            <w:tcW w:type="dxa" w:w="154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项目与文件接入</w:t>
            </w:r>
          </w:p>
        </w:tc>
        <w:tc>
          <w:tcPr>
            <w:tcW w:type="dxa" w:w="438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批量接收招标文件、附件和公司材料，展示类型、大小、版本与处理状态</w:t>
            </w:r>
          </w:p>
        </w:tc>
        <w:tc>
          <w:tcPr>
            <w:tcW w:type="dxa" w:w="900"/>
            <w:vAlign w:val="center"/>
            <w:tcMar>
              <w:top w:w="100" w:type="dxa"/>
              <w:start w:w="120" w:type="dxa"/>
              <w:bottom w:w="100" w:type="dxa"/>
              <w:end w:w="120" w:type="dxa"/>
            </w:tcMar>
          </w:tcPr>
          <w:p>
            <w:pPr>
              <w:spacing w:before="20" w:after="20" w:line="259" w:lineRule="auto"/>
              <w:jc w:val="center"/>
            </w:pPr>
            <w:r>
              <w:rPr>
                <w:rFonts w:ascii="Calibri" w:hAnsi="Calibri" w:eastAsia="Microsoft YaHei"/>
                <w:b/>
                <w:color w:val="9B1C1C"/>
                <w:sz w:val="18"/>
              </w:rPr>
              <w:t>P0</w:t>
            </w:r>
          </w:p>
        </w:tc>
        <w:tc>
          <w:tcPr>
            <w:tcW w:type="dxa" w:w="1720"/>
            <w:vAlign w:val="center"/>
            <w:tcMar>
              <w:top w:w="100" w:type="dxa"/>
              <w:start w:w="120" w:type="dxa"/>
              <w:bottom w:w="100" w:type="dxa"/>
              <w:end w:w="120" w:type="dxa"/>
            </w:tcMar>
          </w:tcPr>
          <w:p>
            <w:pPr>
              <w:spacing w:before="20" w:after="20" w:line="259" w:lineRule="auto"/>
              <w:jc w:val="center"/>
            </w:pPr>
            <w:r>
              <w:rPr>
                <w:rFonts w:ascii="Calibri" w:hAnsi="Calibri" w:eastAsia="Microsoft YaHei"/>
                <w:b/>
                <w:color w:val="7A5A00"/>
                <w:sz w:val="18"/>
              </w:rPr>
              <w:t>部分实现</w:t>
            </w:r>
          </w:p>
        </w:tc>
      </w:tr>
      <w:tr>
        <w:tc>
          <w:tcPr>
            <w:tcW w:type="dxa" w:w="82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FR-02</w:t>
            </w:r>
          </w:p>
        </w:tc>
        <w:tc>
          <w:tcPr>
            <w:tcW w:type="dxa" w:w="154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招标规则解析</w:t>
            </w:r>
          </w:p>
        </w:tc>
        <w:tc>
          <w:tcPr>
            <w:tcW w:type="dxa" w:w="438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抽取资格、★ 条款、评分权重、公式、限价、工期及证明要求</w:t>
            </w:r>
          </w:p>
        </w:tc>
        <w:tc>
          <w:tcPr>
            <w:tcW w:type="dxa" w:w="900"/>
            <w:vAlign w:val="center"/>
            <w:tcMar>
              <w:top w:w="100" w:type="dxa"/>
              <w:start w:w="120" w:type="dxa"/>
              <w:bottom w:w="100" w:type="dxa"/>
              <w:end w:w="120" w:type="dxa"/>
            </w:tcMar>
          </w:tcPr>
          <w:p>
            <w:pPr>
              <w:spacing w:before="20" w:after="20" w:line="259" w:lineRule="auto"/>
              <w:jc w:val="center"/>
            </w:pPr>
            <w:r>
              <w:rPr>
                <w:rFonts w:ascii="Calibri" w:hAnsi="Calibri" w:eastAsia="Microsoft YaHei"/>
                <w:b/>
                <w:color w:val="9B1C1C"/>
                <w:sz w:val="18"/>
              </w:rPr>
              <w:t>P0</w:t>
            </w:r>
          </w:p>
        </w:tc>
        <w:tc>
          <w:tcPr>
            <w:tcW w:type="dxa" w:w="1720"/>
            <w:vAlign w:val="center"/>
            <w:tcMar>
              <w:top w:w="100" w:type="dxa"/>
              <w:start w:w="120" w:type="dxa"/>
              <w:bottom w:w="100" w:type="dxa"/>
              <w:end w:w="120" w:type="dxa"/>
            </w:tcMar>
          </w:tcPr>
          <w:p>
            <w:pPr>
              <w:spacing w:before="20" w:after="20" w:line="259" w:lineRule="auto"/>
              <w:jc w:val="center"/>
            </w:pPr>
            <w:r>
              <w:rPr>
                <w:rFonts w:ascii="Calibri" w:hAnsi="Calibri" w:eastAsia="Microsoft YaHei"/>
                <w:b/>
                <w:color w:val="1D2B26"/>
                <w:sz w:val="18"/>
              </w:rPr>
              <w:t>模拟实现</w:t>
            </w:r>
          </w:p>
        </w:tc>
      </w:tr>
      <w:tr>
        <w:tc>
          <w:tcPr>
            <w:tcW w:type="dxa" w:w="82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FR-03</w:t>
            </w:r>
          </w:p>
        </w:tc>
        <w:tc>
          <w:tcPr>
            <w:tcW w:type="dxa" w:w="154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企业证据库</w:t>
            </w:r>
          </w:p>
        </w:tc>
        <w:tc>
          <w:tcPr>
            <w:tcW w:type="dxa" w:w="438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沉淀资质、业绩、人员与技术证据，支持有效期、归属与复用</w:t>
            </w:r>
          </w:p>
        </w:tc>
        <w:tc>
          <w:tcPr>
            <w:tcW w:type="dxa" w:w="900"/>
            <w:vAlign w:val="center"/>
            <w:tcMar>
              <w:top w:w="100" w:type="dxa"/>
              <w:start w:w="120" w:type="dxa"/>
              <w:bottom w:w="100" w:type="dxa"/>
              <w:end w:w="120" w:type="dxa"/>
            </w:tcMar>
          </w:tcPr>
          <w:p>
            <w:pPr>
              <w:spacing w:before="20" w:after="20" w:line="259" w:lineRule="auto"/>
              <w:jc w:val="center"/>
            </w:pPr>
            <w:r>
              <w:rPr>
                <w:rFonts w:ascii="Calibri" w:hAnsi="Calibri" w:eastAsia="Microsoft YaHei"/>
                <w:b/>
                <w:color w:val="9B1C1C"/>
                <w:sz w:val="18"/>
              </w:rPr>
              <w:t>P0</w:t>
            </w:r>
          </w:p>
        </w:tc>
        <w:tc>
          <w:tcPr>
            <w:tcW w:type="dxa" w:w="1720"/>
            <w:vAlign w:val="center"/>
            <w:tcMar>
              <w:top w:w="100" w:type="dxa"/>
              <w:start w:w="120" w:type="dxa"/>
              <w:bottom w:w="100" w:type="dxa"/>
              <w:end w:w="120" w:type="dxa"/>
            </w:tcMar>
          </w:tcPr>
          <w:p>
            <w:pPr>
              <w:spacing w:before="20" w:after="20" w:line="259" w:lineRule="auto"/>
              <w:jc w:val="center"/>
            </w:pPr>
            <w:r>
              <w:rPr>
                <w:rFonts w:ascii="Calibri" w:hAnsi="Calibri" w:eastAsia="Microsoft YaHei"/>
                <w:b/>
                <w:color w:val="9B1C1C"/>
                <w:sz w:val="18"/>
              </w:rPr>
              <w:t>未实现</w:t>
            </w:r>
          </w:p>
        </w:tc>
      </w:tr>
      <w:tr>
        <w:tc>
          <w:tcPr>
            <w:tcW w:type="dxa" w:w="82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FR-04</w:t>
            </w:r>
          </w:p>
        </w:tc>
        <w:tc>
          <w:tcPr>
            <w:tcW w:type="dxa" w:w="154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双向证据匹配</w:t>
            </w:r>
          </w:p>
        </w:tc>
        <w:tc>
          <w:tcPr>
            <w:tcW w:type="dxa" w:w="438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输出要求—证据矩阵、覆盖率、缺口、置信度与出处</w:t>
            </w:r>
          </w:p>
        </w:tc>
        <w:tc>
          <w:tcPr>
            <w:tcW w:type="dxa" w:w="900"/>
            <w:vAlign w:val="center"/>
            <w:tcMar>
              <w:top w:w="100" w:type="dxa"/>
              <w:start w:w="120" w:type="dxa"/>
              <w:bottom w:w="100" w:type="dxa"/>
              <w:end w:w="120" w:type="dxa"/>
            </w:tcMar>
          </w:tcPr>
          <w:p>
            <w:pPr>
              <w:spacing w:before="20" w:after="20" w:line="259" w:lineRule="auto"/>
              <w:jc w:val="center"/>
            </w:pPr>
            <w:r>
              <w:rPr>
                <w:rFonts w:ascii="Calibri" w:hAnsi="Calibri" w:eastAsia="Microsoft YaHei"/>
                <w:b/>
                <w:color w:val="9B1C1C"/>
                <w:sz w:val="18"/>
              </w:rPr>
              <w:t>P0</w:t>
            </w:r>
          </w:p>
        </w:tc>
        <w:tc>
          <w:tcPr>
            <w:tcW w:type="dxa" w:w="1720"/>
            <w:vAlign w:val="center"/>
            <w:tcMar>
              <w:top w:w="100" w:type="dxa"/>
              <w:start w:w="120" w:type="dxa"/>
              <w:bottom w:w="100" w:type="dxa"/>
              <w:end w:w="120" w:type="dxa"/>
            </w:tcMar>
          </w:tcPr>
          <w:p>
            <w:pPr>
              <w:spacing w:before="20" w:after="20" w:line="259" w:lineRule="auto"/>
              <w:jc w:val="center"/>
            </w:pPr>
            <w:r>
              <w:rPr>
                <w:rFonts w:ascii="Calibri" w:hAnsi="Calibri" w:eastAsia="Microsoft YaHei"/>
                <w:b/>
                <w:color w:val="1D2B26"/>
                <w:sz w:val="18"/>
              </w:rPr>
              <w:t>模拟实现</w:t>
            </w:r>
          </w:p>
        </w:tc>
      </w:tr>
      <w:tr>
        <w:tc>
          <w:tcPr>
            <w:tcW w:type="dxa" w:w="82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FR-05</w:t>
            </w:r>
          </w:p>
        </w:tc>
        <w:tc>
          <w:tcPr>
            <w:tcW w:type="dxa" w:w="154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Bid/No-Bid</w:t>
            </w:r>
          </w:p>
        </w:tc>
        <w:tc>
          <w:tcPr>
            <w:tcW w:type="dxa" w:w="438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综合门槛、资源、成本、利润和竞争力给出可解释建议</w:t>
            </w:r>
          </w:p>
        </w:tc>
        <w:tc>
          <w:tcPr>
            <w:tcW w:type="dxa" w:w="900"/>
            <w:vAlign w:val="center"/>
            <w:tcMar>
              <w:top w:w="100" w:type="dxa"/>
              <w:start w:w="120" w:type="dxa"/>
              <w:bottom w:w="100" w:type="dxa"/>
              <w:end w:w="120" w:type="dxa"/>
            </w:tcMar>
          </w:tcPr>
          <w:p>
            <w:pPr>
              <w:spacing w:before="20" w:after="20" w:line="259" w:lineRule="auto"/>
              <w:jc w:val="center"/>
            </w:pPr>
            <w:r>
              <w:rPr>
                <w:rFonts w:ascii="Calibri" w:hAnsi="Calibri" w:eastAsia="Microsoft YaHei"/>
                <w:b/>
                <w:color w:val="9B1C1C"/>
                <w:sz w:val="18"/>
              </w:rPr>
              <w:t>P0</w:t>
            </w:r>
          </w:p>
        </w:tc>
        <w:tc>
          <w:tcPr>
            <w:tcW w:type="dxa" w:w="1720"/>
            <w:vAlign w:val="center"/>
            <w:tcMar>
              <w:top w:w="100" w:type="dxa"/>
              <w:start w:w="120" w:type="dxa"/>
              <w:bottom w:w="100" w:type="dxa"/>
              <w:end w:w="120" w:type="dxa"/>
            </w:tcMar>
          </w:tcPr>
          <w:p>
            <w:pPr>
              <w:spacing w:before="20" w:after="20" w:line="259" w:lineRule="auto"/>
              <w:jc w:val="center"/>
            </w:pPr>
            <w:r>
              <w:rPr>
                <w:rFonts w:ascii="Calibri" w:hAnsi="Calibri" w:eastAsia="Microsoft YaHei"/>
                <w:b/>
                <w:color w:val="315C4D"/>
                <w:sz w:val="18"/>
              </w:rPr>
              <w:t>已实现</w:t>
            </w:r>
          </w:p>
        </w:tc>
      </w:tr>
      <w:tr>
        <w:tc>
          <w:tcPr>
            <w:tcW w:type="dxa" w:w="82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FR-06</w:t>
            </w:r>
          </w:p>
        </w:tc>
        <w:tc>
          <w:tcPr>
            <w:tcW w:type="dxa" w:w="154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评标规则引擎</w:t>
            </w:r>
          </w:p>
        </w:tc>
        <w:tc>
          <w:tcPr>
            <w:tcW w:type="dxa" w:w="438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按项目顺序执行资格、符合性、低价审查、计分和排序</w:t>
            </w:r>
          </w:p>
        </w:tc>
        <w:tc>
          <w:tcPr>
            <w:tcW w:type="dxa" w:w="900"/>
            <w:vAlign w:val="center"/>
            <w:tcMar>
              <w:top w:w="100" w:type="dxa"/>
              <w:start w:w="120" w:type="dxa"/>
              <w:bottom w:w="100" w:type="dxa"/>
              <w:end w:w="120" w:type="dxa"/>
            </w:tcMar>
          </w:tcPr>
          <w:p>
            <w:pPr>
              <w:spacing w:before="20" w:after="20" w:line="259" w:lineRule="auto"/>
              <w:jc w:val="center"/>
            </w:pPr>
            <w:r>
              <w:rPr>
                <w:rFonts w:ascii="Calibri" w:hAnsi="Calibri" w:eastAsia="Microsoft YaHei"/>
                <w:b/>
                <w:color w:val="9B1C1C"/>
                <w:sz w:val="18"/>
              </w:rPr>
              <w:t>P0</w:t>
            </w:r>
          </w:p>
        </w:tc>
        <w:tc>
          <w:tcPr>
            <w:tcW w:type="dxa" w:w="1720"/>
            <w:vAlign w:val="center"/>
            <w:tcMar>
              <w:top w:w="100" w:type="dxa"/>
              <w:start w:w="120" w:type="dxa"/>
              <w:bottom w:w="100" w:type="dxa"/>
              <w:end w:w="120" w:type="dxa"/>
            </w:tcMar>
          </w:tcPr>
          <w:p>
            <w:pPr>
              <w:spacing w:before="20" w:after="20" w:line="259" w:lineRule="auto"/>
              <w:jc w:val="center"/>
            </w:pPr>
            <w:r>
              <w:rPr>
                <w:rFonts w:ascii="Calibri" w:hAnsi="Calibri" w:eastAsia="Microsoft YaHei"/>
                <w:b/>
                <w:color w:val="315C4D"/>
                <w:sz w:val="18"/>
              </w:rPr>
              <w:t>已实现</w:t>
            </w:r>
          </w:p>
        </w:tc>
      </w:tr>
      <w:tr>
        <w:tc>
          <w:tcPr>
            <w:tcW w:type="dxa" w:w="82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FR-07</w:t>
            </w:r>
          </w:p>
        </w:tc>
        <w:tc>
          <w:tcPr>
            <w:tcW w:type="dxa" w:w="154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多智能体竞演</w:t>
            </w:r>
          </w:p>
        </w:tc>
        <w:tc>
          <w:tcPr>
            <w:tcW w:type="dxa" w:w="438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A 为我方，B/C/D 采用低价、技术溢价和均衡策略</w:t>
            </w:r>
          </w:p>
        </w:tc>
        <w:tc>
          <w:tcPr>
            <w:tcW w:type="dxa" w:w="900"/>
            <w:vAlign w:val="center"/>
            <w:tcMar>
              <w:top w:w="100" w:type="dxa"/>
              <w:start w:w="120" w:type="dxa"/>
              <w:bottom w:w="100" w:type="dxa"/>
              <w:end w:w="120" w:type="dxa"/>
            </w:tcMar>
          </w:tcPr>
          <w:p>
            <w:pPr>
              <w:spacing w:before="20" w:after="20" w:line="259" w:lineRule="auto"/>
              <w:jc w:val="center"/>
            </w:pPr>
            <w:r>
              <w:rPr>
                <w:rFonts w:ascii="Calibri" w:hAnsi="Calibri" w:eastAsia="Microsoft YaHei"/>
                <w:b/>
                <w:color w:val="9B1C1C"/>
                <w:sz w:val="18"/>
              </w:rPr>
              <w:t>P0</w:t>
            </w:r>
          </w:p>
        </w:tc>
        <w:tc>
          <w:tcPr>
            <w:tcW w:type="dxa" w:w="1720"/>
            <w:vAlign w:val="center"/>
            <w:tcMar>
              <w:top w:w="100" w:type="dxa"/>
              <w:start w:w="120" w:type="dxa"/>
              <w:bottom w:w="100" w:type="dxa"/>
              <w:end w:w="120" w:type="dxa"/>
            </w:tcMar>
          </w:tcPr>
          <w:p>
            <w:pPr>
              <w:spacing w:before="20" w:after="20" w:line="259" w:lineRule="auto"/>
              <w:jc w:val="center"/>
            </w:pPr>
            <w:r>
              <w:rPr>
                <w:rFonts w:ascii="Calibri" w:hAnsi="Calibri" w:eastAsia="Microsoft YaHei"/>
                <w:b/>
                <w:color w:val="315C4D"/>
                <w:sz w:val="18"/>
              </w:rPr>
              <w:t>已实现</w:t>
            </w:r>
          </w:p>
        </w:tc>
      </w:tr>
      <w:tr>
        <w:tc>
          <w:tcPr>
            <w:tcW w:type="dxa" w:w="82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FR-08</w:t>
            </w:r>
          </w:p>
        </w:tc>
        <w:tc>
          <w:tcPr>
            <w:tcW w:type="dxa" w:w="154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报价优化</w:t>
            </w:r>
          </w:p>
        </w:tc>
        <w:tc>
          <w:tcPr>
            <w:tcW w:type="dxa" w:w="438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在利润与限价约束下优化胜率、期望利润或稳健收益</w:t>
            </w:r>
          </w:p>
        </w:tc>
        <w:tc>
          <w:tcPr>
            <w:tcW w:type="dxa" w:w="900"/>
            <w:vAlign w:val="center"/>
            <w:tcMar>
              <w:top w:w="100" w:type="dxa"/>
              <w:start w:w="120" w:type="dxa"/>
              <w:bottom w:w="100" w:type="dxa"/>
              <w:end w:w="120" w:type="dxa"/>
            </w:tcMar>
          </w:tcPr>
          <w:p>
            <w:pPr>
              <w:spacing w:before="20" w:after="20" w:line="259" w:lineRule="auto"/>
              <w:jc w:val="center"/>
            </w:pPr>
            <w:r>
              <w:rPr>
                <w:rFonts w:ascii="Calibri" w:hAnsi="Calibri" w:eastAsia="Microsoft YaHei"/>
                <w:b/>
                <w:color w:val="9B1C1C"/>
                <w:sz w:val="18"/>
              </w:rPr>
              <w:t>P0</w:t>
            </w:r>
          </w:p>
        </w:tc>
        <w:tc>
          <w:tcPr>
            <w:tcW w:type="dxa" w:w="1720"/>
            <w:vAlign w:val="center"/>
            <w:tcMar>
              <w:top w:w="100" w:type="dxa"/>
              <w:start w:w="120" w:type="dxa"/>
              <w:bottom w:w="100" w:type="dxa"/>
              <w:end w:w="120" w:type="dxa"/>
            </w:tcMar>
          </w:tcPr>
          <w:p>
            <w:pPr>
              <w:spacing w:before="20" w:after="20" w:line="259" w:lineRule="auto"/>
              <w:jc w:val="center"/>
            </w:pPr>
            <w:r>
              <w:rPr>
                <w:rFonts w:ascii="Calibri" w:hAnsi="Calibri" w:eastAsia="Microsoft YaHei"/>
                <w:b/>
                <w:color w:val="315C4D"/>
                <w:sz w:val="18"/>
              </w:rPr>
              <w:t>已实现</w:t>
            </w:r>
          </w:p>
        </w:tc>
      </w:tr>
      <w:tr>
        <w:tc>
          <w:tcPr>
            <w:tcW w:type="dxa" w:w="82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FR-09</w:t>
            </w:r>
          </w:p>
        </w:tc>
        <w:tc>
          <w:tcPr>
            <w:tcW w:type="dxa" w:w="154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缺口协同</w:t>
            </w:r>
          </w:p>
        </w:tc>
        <w:tc>
          <w:tcPr>
            <w:tcW w:type="dxa" w:w="438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将缺口分配给商务、技术、财务或法务并跟踪闭环</w:t>
            </w:r>
          </w:p>
        </w:tc>
        <w:tc>
          <w:tcPr>
            <w:tcW w:type="dxa" w:w="900"/>
            <w:vAlign w:val="center"/>
            <w:tcMar>
              <w:top w:w="100" w:type="dxa"/>
              <w:start w:w="120" w:type="dxa"/>
              <w:bottom w:w="100" w:type="dxa"/>
              <w:end w:w="120" w:type="dxa"/>
            </w:tcMar>
          </w:tcPr>
          <w:p>
            <w:pPr>
              <w:spacing w:before="20" w:after="20" w:line="259" w:lineRule="auto"/>
              <w:jc w:val="center"/>
            </w:pPr>
            <w:r>
              <w:rPr>
                <w:rFonts w:ascii="Calibri" w:hAnsi="Calibri" w:eastAsia="Microsoft YaHei"/>
                <w:b/>
                <w:color w:val="7A5A00"/>
                <w:sz w:val="18"/>
              </w:rPr>
              <w:t>P1</w:t>
            </w:r>
          </w:p>
        </w:tc>
        <w:tc>
          <w:tcPr>
            <w:tcW w:type="dxa" w:w="1720"/>
            <w:vAlign w:val="center"/>
            <w:tcMar>
              <w:top w:w="100" w:type="dxa"/>
              <w:start w:w="120" w:type="dxa"/>
              <w:bottom w:w="100" w:type="dxa"/>
              <w:end w:w="120" w:type="dxa"/>
            </w:tcMar>
          </w:tcPr>
          <w:p>
            <w:pPr>
              <w:spacing w:before="20" w:after="20" w:line="259" w:lineRule="auto"/>
              <w:jc w:val="center"/>
            </w:pPr>
            <w:r>
              <w:rPr>
                <w:rFonts w:ascii="Calibri" w:hAnsi="Calibri" w:eastAsia="Microsoft YaHei"/>
                <w:b/>
                <w:color w:val="9B1C1C"/>
                <w:sz w:val="18"/>
              </w:rPr>
              <w:t>未实现</w:t>
            </w:r>
          </w:p>
        </w:tc>
      </w:tr>
      <w:tr>
        <w:tc>
          <w:tcPr>
            <w:tcW w:type="dxa" w:w="82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FR-10</w:t>
            </w:r>
          </w:p>
        </w:tc>
        <w:tc>
          <w:tcPr>
            <w:tcW w:type="dxa" w:w="154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报告与审计</w:t>
            </w:r>
          </w:p>
        </w:tc>
        <w:tc>
          <w:tcPr>
            <w:tcW w:type="dxa" w:w="438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导出规则、假设、结果、风险、人工确认与版本记录</w:t>
            </w:r>
          </w:p>
        </w:tc>
        <w:tc>
          <w:tcPr>
            <w:tcW w:type="dxa" w:w="900"/>
            <w:vAlign w:val="center"/>
            <w:tcMar>
              <w:top w:w="100" w:type="dxa"/>
              <w:start w:w="120" w:type="dxa"/>
              <w:bottom w:w="100" w:type="dxa"/>
              <w:end w:w="120" w:type="dxa"/>
            </w:tcMar>
          </w:tcPr>
          <w:p>
            <w:pPr>
              <w:spacing w:before="20" w:after="20" w:line="259" w:lineRule="auto"/>
              <w:jc w:val="center"/>
            </w:pPr>
            <w:r>
              <w:rPr>
                <w:rFonts w:ascii="Calibri" w:hAnsi="Calibri" w:eastAsia="Microsoft YaHei"/>
                <w:b/>
                <w:color w:val="9B1C1C"/>
                <w:sz w:val="18"/>
              </w:rPr>
              <w:t>P0</w:t>
            </w:r>
          </w:p>
        </w:tc>
        <w:tc>
          <w:tcPr>
            <w:tcW w:type="dxa" w:w="1720"/>
            <w:vAlign w:val="center"/>
            <w:tcMar>
              <w:top w:w="100" w:type="dxa"/>
              <w:start w:w="120" w:type="dxa"/>
              <w:bottom w:w="100" w:type="dxa"/>
              <w:end w:w="120" w:type="dxa"/>
            </w:tcMar>
          </w:tcPr>
          <w:p>
            <w:pPr>
              <w:spacing w:before="20" w:after="20" w:line="259" w:lineRule="auto"/>
              <w:jc w:val="center"/>
            </w:pPr>
            <w:r>
              <w:rPr>
                <w:rFonts w:ascii="Calibri" w:hAnsi="Calibri" w:eastAsia="Microsoft YaHei"/>
                <w:b/>
                <w:color w:val="7A5A00"/>
                <w:sz w:val="18"/>
              </w:rPr>
              <w:t>部分实现</w:t>
            </w:r>
          </w:p>
        </w:tc>
      </w:tr>
    </w:tbl>
    <w:p>
      <w:pPr>
        <w:spacing w:after="40"/>
      </w:pPr>
    </w:p>
    <w:p>
      <w:pPr>
        <w:pStyle w:val="Heading2"/>
        <w:keepNext/>
      </w:pPr>
      <w:r>
        <w:t>6.1 FR-01 项目与文件接入</w:t>
      </w:r>
    </w:p>
    <w:p>
      <w:pPr>
        <w:pStyle w:val="ListBullet"/>
      </w:pPr>
      <w:r>
        <w:rPr>
          <w:rFonts w:ascii="Calibri" w:hAnsi="Calibri" w:eastAsia="Microsoft YaHei"/>
          <w:color w:val="1D2B26"/>
          <w:sz w:val="22"/>
        </w:rPr>
        <w:t>支持 PDF、Word、Excel、图片及压缩附件；保留原文件、哈希、来源、上传人和时间。</w:t>
      </w:r>
    </w:p>
    <w:p>
      <w:pPr>
        <w:pStyle w:val="ListBullet"/>
      </w:pPr>
      <w:r>
        <w:rPr>
          <w:rFonts w:ascii="Calibri" w:hAnsi="Calibri" w:eastAsia="Microsoft YaHei"/>
          <w:color w:val="1D2B26"/>
          <w:sz w:val="22"/>
        </w:rPr>
        <w:t>区分招标方文件与企业材料，允许主文件、附件、更正公告建立引用关系。</w:t>
      </w:r>
    </w:p>
    <w:p>
      <w:pPr>
        <w:pStyle w:val="ListBullet"/>
      </w:pPr>
      <w:r>
        <w:rPr>
          <w:rFonts w:ascii="Calibri" w:hAnsi="Calibri" w:eastAsia="Microsoft YaHei"/>
          <w:color w:val="1D2B26"/>
          <w:sz w:val="22"/>
        </w:rPr>
        <w:t>上传后执行病毒扫描、格式校验、OCR/版面识别与处理状态展示。</w:t>
      </w:r>
    </w:p>
    <w:p>
      <w:pPr>
        <w:pStyle w:val="ListBullet"/>
      </w:pPr>
      <w:r>
        <w:rPr>
          <w:rFonts w:ascii="Calibri" w:hAnsi="Calibri" w:eastAsia="Microsoft YaHei"/>
          <w:color w:val="1D2B26"/>
          <w:sz w:val="22"/>
        </w:rPr>
        <w:t>验收：至少可稳定处理 500 页 PDF、扫描件和包含表格的评分办法。</w:t>
      </w:r>
    </w:p>
    <w:p>
      <w:pPr>
        <w:pStyle w:val="Heading2"/>
        <w:keepNext/>
      </w:pPr>
      <w:r>
        <w:t>6.2 FR-02 招标规则解析</w:t>
      </w:r>
    </w:p>
    <w:p>
      <w:pPr>
        <w:pStyle w:val="ListBullet"/>
      </w:pPr>
      <w:r>
        <w:rPr>
          <w:rFonts w:ascii="Calibri" w:hAnsi="Calibri" w:eastAsia="Microsoft YaHei"/>
          <w:color w:val="1D2B26"/>
          <w:sz w:val="22"/>
        </w:rPr>
        <w:t>抽取规则必须结构化为：类型、文本、强制性、分值、公式、所需证据、来源页码和置信度。</w:t>
      </w:r>
    </w:p>
    <w:p>
      <w:pPr>
        <w:pStyle w:val="ListBullet"/>
      </w:pPr>
      <w:r>
        <w:rPr>
          <w:rFonts w:ascii="Calibri" w:hAnsi="Calibri" w:eastAsia="Microsoft YaHei"/>
          <w:color w:val="1D2B26"/>
          <w:sz w:val="22"/>
        </w:rPr>
        <w:t>低置信度、冲突条款和更正前后差异进入人工复核队列。</w:t>
      </w:r>
    </w:p>
    <w:p>
      <w:pPr>
        <w:pStyle w:val="ListBullet"/>
      </w:pPr>
      <w:r>
        <w:rPr>
          <w:rFonts w:ascii="Calibri" w:hAnsi="Calibri" w:eastAsia="Microsoft YaHei"/>
          <w:color w:val="1D2B26"/>
          <w:sz w:val="22"/>
        </w:rPr>
        <w:t>规则确认后锁定版本；后续修改必须重新运行证据匹配与报价模拟。</w:t>
      </w:r>
    </w:p>
    <w:p>
      <w:pPr>
        <w:pStyle w:val="Heading2"/>
        <w:keepNext/>
      </w:pPr>
      <w:r>
        <w:t>6.3 FR-03/04 企业证据库与匹配</w:t>
      </w:r>
    </w:p>
    <w:p>
      <w:pPr>
        <w:pStyle w:val="ListBullet"/>
      </w:pPr>
      <w:r>
        <w:rPr>
          <w:rFonts w:ascii="Calibri" w:hAnsi="Calibri" w:eastAsia="Microsoft YaHei"/>
          <w:color w:val="1D2B26"/>
          <w:sz w:val="22"/>
        </w:rPr>
        <w:t>企业证据包含证据类型、主体、有效期、项目范围、原文位置、可复用性和敏感级别。</w:t>
      </w:r>
    </w:p>
    <w:p>
      <w:pPr>
        <w:pStyle w:val="ListBullet"/>
      </w:pPr>
      <w:r>
        <w:rPr>
          <w:rFonts w:ascii="Calibri" w:hAnsi="Calibri" w:eastAsia="Microsoft YaHei"/>
          <w:color w:val="1D2B26"/>
          <w:sz w:val="22"/>
        </w:rPr>
        <w:t>匹配状态至少包含：已满足、部分满足、缺失、不适用、待人工确认。</w:t>
      </w:r>
    </w:p>
    <w:p>
      <w:pPr>
        <w:pStyle w:val="ListBullet"/>
      </w:pPr>
      <w:r>
        <w:rPr>
          <w:rFonts w:ascii="Calibri" w:hAnsi="Calibri" w:eastAsia="Microsoft YaHei"/>
          <w:color w:val="1D2B26"/>
          <w:sz w:val="22"/>
        </w:rPr>
        <w:t>匹配应支持一条要求对应多份证据，以及一份证据支持多个要求。</w:t>
      </w:r>
    </w:p>
    <w:p>
      <w:pPr>
        <w:pStyle w:val="ListBullet"/>
      </w:pPr>
      <w:r>
        <w:rPr>
          <w:rFonts w:ascii="Calibri" w:hAnsi="Calibri" w:eastAsia="Microsoft YaHei"/>
          <w:color w:val="1D2B26"/>
          <w:sz w:val="22"/>
        </w:rPr>
        <w:t>强制项未完全满足时，界面必须阻止“预计可通过”的绿色结论。</w:t>
      </w:r>
    </w:p>
    <w:p>
      <w:pPr>
        <w:pStyle w:val="Heading2"/>
        <w:keepNext/>
      </w:pPr>
      <w:r>
        <w:t>6.4 FR-05/06 决策与规则引擎</w:t>
      </w:r>
    </w:p>
    <w:p>
      <w:pPr>
        <w:pStyle w:val="ListBullet"/>
      </w:pPr>
      <w:r>
        <w:rPr>
          <w:rFonts w:ascii="Calibri" w:hAnsi="Calibri" w:eastAsia="Microsoft YaHei"/>
          <w:color w:val="1D2B26"/>
          <w:sz w:val="22"/>
        </w:rPr>
        <w:t>资格和实质性要求使用通过制；内部利润底线不得混入评委评分。</w:t>
      </w:r>
    </w:p>
    <w:p>
      <w:pPr>
        <w:pStyle w:val="ListBullet"/>
      </w:pPr>
      <w:r>
        <w:rPr>
          <w:rFonts w:ascii="Calibri" w:hAnsi="Calibri" w:eastAsia="Microsoft YaHei"/>
          <w:color w:val="1D2B26"/>
          <w:sz w:val="22"/>
        </w:rPr>
        <w:t>异常低价触发审查不等于自动废标，需展示说明材料与人工判断状态。</w:t>
      </w:r>
    </w:p>
    <w:p>
      <w:pPr>
        <w:pStyle w:val="ListBullet"/>
      </w:pPr>
      <w:r>
        <w:rPr>
          <w:rFonts w:ascii="Calibri" w:hAnsi="Calibri" w:eastAsia="Microsoft YaHei"/>
          <w:color w:val="1D2B26"/>
          <w:sz w:val="22"/>
        </w:rPr>
        <w:t>最低评标价法与综合评分法使用不同的排序路径。</w:t>
      </w:r>
    </w:p>
    <w:p>
      <w:pPr>
        <w:pStyle w:val="ListBullet"/>
      </w:pPr>
      <w:r>
        <w:rPr>
          <w:rFonts w:ascii="Calibri" w:hAnsi="Calibri" w:eastAsia="Microsoft YaHei"/>
          <w:color w:val="1D2B26"/>
          <w:sz w:val="22"/>
        </w:rPr>
        <w:t>每次运行记录规则版本、输入、公式、淘汰原因和输出。</w:t>
      </w:r>
    </w:p>
    <w:p>
      <w:pPr>
        <w:pStyle w:val="Heading2"/>
        <w:keepNext/>
      </w:pPr>
      <w:r>
        <w:t>6.5 FR-07/08 多智能体与报价优化</w:t>
      </w:r>
    </w:p>
    <w:p>
      <w:pPr>
        <w:pStyle w:val="ListBullet"/>
      </w:pPr>
      <w:r>
        <w:rPr>
          <w:rFonts w:ascii="Calibri" w:hAnsi="Calibri" w:eastAsia="Microsoft YaHei"/>
          <w:color w:val="1D2B26"/>
          <w:sz w:val="22"/>
        </w:rPr>
        <w:t>我方智能体使用企业能力、证据成熟度、成本和报价；竞争者智能体使用可配置策略画像。</w:t>
      </w:r>
    </w:p>
    <w:p>
      <w:pPr>
        <w:pStyle w:val="ListBullet"/>
      </w:pPr>
      <w:r>
        <w:rPr>
          <w:rFonts w:ascii="Calibri" w:hAnsi="Calibri" w:eastAsia="Microsoft YaHei"/>
          <w:color w:val="1D2B26"/>
          <w:sz w:val="22"/>
        </w:rPr>
        <w:t>规则裁判为独立确定性模块，任何投标智能体均不能修改规则。</w:t>
      </w:r>
    </w:p>
    <w:p>
      <w:pPr>
        <w:pStyle w:val="ListBullet"/>
      </w:pPr>
      <w:r>
        <w:rPr>
          <w:rFonts w:ascii="Calibri" w:hAnsi="Calibri" w:eastAsia="Microsoft YaHei"/>
          <w:color w:val="1D2B26"/>
          <w:sz w:val="22"/>
        </w:rPr>
        <w:t>优化目标支持最大中标概率、最大期望利润、稳健收益；只搜索满足限价和最低毛利率的报价。</w:t>
      </w:r>
    </w:p>
    <w:p>
      <w:pPr>
        <w:pStyle w:val="ListBullet"/>
      </w:pPr>
      <w:r>
        <w:rPr>
          <w:rFonts w:ascii="Calibri" w:hAnsi="Calibri" w:eastAsia="Microsoft YaHei"/>
          <w:color w:val="1D2B26"/>
          <w:sz w:val="22"/>
        </w:rPr>
        <w:t>输出推荐区间、当前点、敏感性和主要不确定性，而非单一神谕式价格。</w:t>
      </w:r>
    </w:p>
    <w:p>
      <w:pPr>
        <w:pStyle w:val="Heading1"/>
        <w:keepNext/>
      </w:pPr>
      <w:r>
        <w:t>7. 多智能体与规则架构</w:t>
      </w:r>
    </w:p>
    <w:tbl>
      <w:tblPr>
        <w:tblW w:type="dxa" w:w="9360"/>
        <w:tblLayout w:type="fixed"/>
        <w:tblLook w:firstColumn="1" w:firstRow="1" w:lastColumn="0" w:lastRow="0" w:noHBand="0" w:noVBand="1" w:val="04A0"/>
        <w:tblBorders>
          <w:top w:val="single" w:sz="4" w:space="0" w:color="D7DDE2"/>
          <w:left w:val="single" w:sz="4" w:space="0" w:color="D7DDE2"/>
          <w:bottom w:val="single" w:sz="4" w:space="0" w:color="D7DDE2"/>
          <w:right w:val="single" w:sz="4" w:space="0" w:color="D7DDE2"/>
          <w:insideH w:val="single" w:sz="4" w:space="0" w:color="D7DDE2"/>
          <w:insideV w:val="single" w:sz="4" w:space="0" w:color="D7DDE2"/>
        </w:tblBorders>
        <w:tblInd w:w="120" w:type="dxa"/>
      </w:tblPr>
      <w:tblGrid>
        <w:gridCol w:w="9360"/>
      </w:tblGrid>
      <w:tr>
        <w:tc>
          <w:tcPr>
            <w:tcW w:type="dxa" w:w="9360"/>
            <w:shd w:fill="F2F4F7"/>
            <w:tcMar>
              <w:top w:w="100" w:type="dxa"/>
              <w:start w:w="120" w:type="dxa"/>
              <w:bottom w:w="100" w:type="dxa"/>
              <w:end w:w="120" w:type="dxa"/>
            </w:tcMar>
            <w:vAlign w:val="center"/>
          </w:tcPr>
          <w:p>
            <w:pPr>
              <w:spacing w:after="40" w:line="240" w:lineRule="auto"/>
            </w:pPr>
            <w:r>
              <w:rPr>
                <w:rFonts w:ascii="Consolas" w:hAnsi="Consolas" w:eastAsia="Microsoft YaHei"/>
                <w:color w:val="1F4D78"/>
                <w:sz w:val="17"/>
              </w:rPr>
              <w:t>招标文件 ──&gt; 文档规则智能体 ──&gt; 项目规则版本 ─┐</w:t>
            </w:r>
          </w:p>
          <w:p>
            <w:pPr>
              <w:spacing w:after="40" w:line="240" w:lineRule="auto"/>
            </w:pPr>
            <w:r>
              <w:rPr>
                <w:rFonts w:ascii="Consolas" w:hAnsi="Consolas" w:eastAsia="Microsoft YaHei"/>
                <w:color w:val="1F4D78"/>
                <w:sz w:val="17"/>
              </w:rPr>
              <w:t>公司材料 ──&gt; 企业证据智能体 ──&gt; 证据索引 ───┤</w:t>
            </w:r>
          </w:p>
          <w:p>
            <w:pPr>
              <w:spacing w:after="40" w:line="240" w:lineRule="auto"/>
            </w:pPr>
            <w:r>
              <w:rPr>
                <w:rFonts w:ascii="Consolas" w:hAnsi="Consolas" w:eastAsia="Microsoft YaHei"/>
                <w:color w:val="1F4D78"/>
                <w:sz w:val="17"/>
              </w:rPr>
              <w:t xml:space="preserve">                                               ├─&gt; 确定性规则裁判 ─&gt; 有效投标集合</w:t>
            </w:r>
          </w:p>
          <w:p>
            <w:pPr>
              <w:spacing w:after="40" w:line="240" w:lineRule="auto"/>
            </w:pPr>
            <w:r>
              <w:rPr>
                <w:rFonts w:ascii="Consolas" w:hAnsi="Consolas" w:eastAsia="Microsoft YaHei"/>
                <w:color w:val="1F4D78"/>
                <w:sz w:val="17"/>
              </w:rPr>
              <w:t>我方策略 A + 竞争策略 B/C/D ───────────────────┘                     │</w:t>
            </w:r>
          </w:p>
          <w:p>
            <w:pPr>
              <w:spacing w:after="40" w:line="240" w:lineRule="auto"/>
            </w:pPr>
            <w:r>
              <w:rPr>
                <w:rFonts w:ascii="Consolas" w:hAnsi="Consolas" w:eastAsia="Microsoft YaHei"/>
                <w:color w:val="1F4D78"/>
                <w:sz w:val="17"/>
              </w:rPr>
              <w:t xml:space="preserve">                                                                         └─&gt; 报价优化 ─&gt; 决策报告</w:t>
            </w:r>
          </w:p>
        </w:tc>
      </w:tr>
    </w:tbl>
    <w:p>
      <w:pPr>
        <w:spacing w:after="40"/>
      </w:pPr>
    </w:p>
    <w:tbl>
      <w:tblPr>
        <w:tblW w:type="dxa" w:w="9360"/>
        <w:jc w:val="left"/>
        <w:tblLayout w:type="fixed"/>
        <w:tblLook w:firstColumn="1" w:firstRow="1" w:lastColumn="0" w:lastRow="0" w:noHBand="0" w:noVBand="1" w:val="04A0"/>
        <w:tblBorders>
          <w:top w:val="single" w:sz="4" w:space="0" w:color="D7DDE2"/>
          <w:left w:val="single" w:sz="4" w:space="0" w:color="D7DDE2"/>
          <w:bottom w:val="single" w:sz="4" w:space="0" w:color="D7DDE2"/>
          <w:right w:val="single" w:sz="4" w:space="0" w:color="D7DDE2"/>
          <w:insideH w:val="single" w:sz="4" w:space="0" w:color="D7DDE2"/>
          <w:insideV w:val="single" w:sz="4" w:space="0" w:color="D7DDE2"/>
        </w:tblBorders>
        <w:tblInd w:w="120" w:type="dxa"/>
      </w:tblPr>
      <w:tblGrid>
        <w:gridCol w:w="1700"/>
        <w:gridCol w:w="2300"/>
        <w:gridCol w:w="2700"/>
        <w:gridCol w:w="2660"/>
      </w:tblGrid>
      <w:tr>
        <w:trPr>
          <w:tblHeader w:val="true"/>
        </w:trPr>
        <w:tc>
          <w:tcPr>
            <w:tcW w:type="dxa" w:w="1700"/>
            <w:shd w:fill="E8EEF5"/>
            <w:vAlign w:val="center"/>
            <w:tcMar>
              <w:top w:w="100" w:type="dxa"/>
              <w:start w:w="120" w:type="dxa"/>
              <w:bottom w:w="100" w:type="dxa"/>
              <w:end w:w="120" w:type="dxa"/>
            </w:tcMar>
          </w:tcPr>
          <w:p>
            <w:pPr>
              <w:spacing w:before="20" w:after="20" w:line="252" w:lineRule="auto"/>
              <w:jc w:val="left"/>
            </w:pPr>
            <w:r>
              <w:rPr>
                <w:rFonts w:ascii="Calibri" w:hAnsi="Calibri" w:eastAsia="Microsoft YaHei"/>
                <w:b/>
                <w:color w:val="1D2B26"/>
                <w:sz w:val="18"/>
              </w:rPr>
              <w:t>智能体/模块</w:t>
            </w:r>
          </w:p>
        </w:tc>
        <w:tc>
          <w:tcPr>
            <w:tcW w:type="dxa" w:w="2300"/>
            <w:shd w:fill="E8EEF5"/>
            <w:vAlign w:val="center"/>
            <w:tcMar>
              <w:top w:w="100" w:type="dxa"/>
              <w:start w:w="120" w:type="dxa"/>
              <w:bottom w:w="100" w:type="dxa"/>
              <w:end w:w="120" w:type="dxa"/>
            </w:tcMar>
          </w:tcPr>
          <w:p>
            <w:pPr>
              <w:spacing w:before="20" w:after="20" w:line="252" w:lineRule="auto"/>
              <w:jc w:val="left"/>
            </w:pPr>
            <w:r>
              <w:rPr>
                <w:rFonts w:ascii="Calibri" w:hAnsi="Calibri" w:eastAsia="Microsoft YaHei"/>
                <w:b/>
                <w:color w:val="1D2B26"/>
                <w:sz w:val="18"/>
              </w:rPr>
              <w:t>职责</w:t>
            </w:r>
          </w:p>
        </w:tc>
        <w:tc>
          <w:tcPr>
            <w:tcW w:type="dxa" w:w="2700"/>
            <w:shd w:fill="E8EEF5"/>
            <w:vAlign w:val="center"/>
            <w:tcMar>
              <w:top w:w="100" w:type="dxa"/>
              <w:start w:w="120" w:type="dxa"/>
              <w:bottom w:w="100" w:type="dxa"/>
              <w:end w:w="120" w:type="dxa"/>
            </w:tcMar>
          </w:tcPr>
          <w:p>
            <w:pPr>
              <w:spacing w:before="20" w:after="20" w:line="252" w:lineRule="auto"/>
              <w:jc w:val="left"/>
            </w:pPr>
            <w:r>
              <w:rPr>
                <w:rFonts w:ascii="Calibri" w:hAnsi="Calibri" w:eastAsia="Microsoft YaHei"/>
                <w:b/>
                <w:color w:val="1D2B26"/>
                <w:sz w:val="18"/>
              </w:rPr>
              <w:t>允许做什么</w:t>
            </w:r>
          </w:p>
        </w:tc>
        <w:tc>
          <w:tcPr>
            <w:tcW w:type="dxa" w:w="2660"/>
            <w:shd w:fill="E8EEF5"/>
            <w:vAlign w:val="center"/>
            <w:tcMar>
              <w:top w:w="100" w:type="dxa"/>
              <w:start w:w="120" w:type="dxa"/>
              <w:bottom w:w="100" w:type="dxa"/>
              <w:end w:w="120" w:type="dxa"/>
            </w:tcMar>
          </w:tcPr>
          <w:p>
            <w:pPr>
              <w:spacing w:before="20" w:after="20" w:line="252" w:lineRule="auto"/>
              <w:jc w:val="left"/>
            </w:pPr>
            <w:r>
              <w:rPr>
                <w:rFonts w:ascii="Calibri" w:hAnsi="Calibri" w:eastAsia="Microsoft YaHei"/>
                <w:b/>
                <w:color w:val="1D2B26"/>
                <w:sz w:val="18"/>
              </w:rPr>
              <w:t>禁止做什么</w:t>
            </w:r>
          </w:p>
        </w:tc>
      </w:tr>
      <w:tr>
        <w:tc>
          <w:tcPr>
            <w:tcW w:type="dxa" w:w="17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规则智能体</w:t>
            </w:r>
          </w:p>
        </w:tc>
        <w:tc>
          <w:tcPr>
            <w:tcW w:type="dxa" w:w="23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抽取资格、条款、权重和公式</w:t>
            </w:r>
          </w:p>
        </w:tc>
        <w:tc>
          <w:tcPr>
            <w:tcW w:type="dxa" w:w="27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提出结构化规则与置信度</w:t>
            </w:r>
          </w:p>
        </w:tc>
        <w:tc>
          <w:tcPr>
            <w:tcW w:type="dxa" w:w="266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自行确定项目权重</w:t>
            </w:r>
          </w:p>
        </w:tc>
      </w:tr>
      <w:tr>
        <w:tc>
          <w:tcPr>
            <w:tcW w:type="dxa" w:w="17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资格智能体</w:t>
            </w:r>
          </w:p>
        </w:tc>
        <w:tc>
          <w:tcPr>
            <w:tcW w:type="dxa" w:w="23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识别准入和废标风险</w:t>
            </w:r>
          </w:p>
        </w:tc>
        <w:tc>
          <w:tcPr>
            <w:tcW w:type="dxa" w:w="27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匹配证照、声明和授权</w:t>
            </w:r>
          </w:p>
        </w:tc>
        <w:tc>
          <w:tcPr>
            <w:tcW w:type="dxa" w:w="266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把资格条件当作额外加分</w:t>
            </w:r>
          </w:p>
        </w:tc>
      </w:tr>
      <w:tr>
        <w:tc>
          <w:tcPr>
            <w:tcW w:type="dxa" w:w="17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技术/评分智能体</w:t>
            </w:r>
          </w:p>
        </w:tc>
        <w:tc>
          <w:tcPr>
            <w:tcW w:type="dxa" w:w="23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识别技术响应与评分证据</w:t>
            </w:r>
          </w:p>
        </w:tc>
        <w:tc>
          <w:tcPr>
            <w:tcW w:type="dxa" w:w="27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预测得分区间和缺口</w:t>
            </w:r>
          </w:p>
        </w:tc>
        <w:tc>
          <w:tcPr>
            <w:tcW w:type="dxa" w:w="266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无证据时给满分</w:t>
            </w:r>
          </w:p>
        </w:tc>
      </w:tr>
      <w:tr>
        <w:tc>
          <w:tcPr>
            <w:tcW w:type="dxa" w:w="17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企业证据智能体</w:t>
            </w:r>
          </w:p>
        </w:tc>
        <w:tc>
          <w:tcPr>
            <w:tcW w:type="dxa" w:w="23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索引公司材料</w:t>
            </w:r>
          </w:p>
        </w:tc>
        <w:tc>
          <w:tcPr>
            <w:tcW w:type="dxa" w:w="27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定位证据、有效期和主体</w:t>
            </w:r>
          </w:p>
        </w:tc>
        <w:tc>
          <w:tcPr>
            <w:tcW w:type="dxa" w:w="266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替代人工确认真实性</w:t>
            </w:r>
          </w:p>
        </w:tc>
      </w:tr>
      <w:tr>
        <w:tc>
          <w:tcPr>
            <w:tcW w:type="dxa" w:w="17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投标策略 A/B/C/D</w:t>
            </w:r>
          </w:p>
        </w:tc>
        <w:tc>
          <w:tcPr>
            <w:tcW w:type="dxa" w:w="23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生成不同报价和响应策略</w:t>
            </w:r>
          </w:p>
        </w:tc>
        <w:tc>
          <w:tcPr>
            <w:tcW w:type="dxa" w:w="27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调整报价、成熟度和假设</w:t>
            </w:r>
          </w:p>
        </w:tc>
        <w:tc>
          <w:tcPr>
            <w:tcW w:type="dxa" w:w="266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绕过硬门槛</w:t>
            </w:r>
          </w:p>
        </w:tc>
      </w:tr>
      <w:tr>
        <w:tc>
          <w:tcPr>
            <w:tcW w:type="dxa" w:w="17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确定性规则裁判</w:t>
            </w:r>
          </w:p>
        </w:tc>
        <w:tc>
          <w:tcPr>
            <w:tcW w:type="dxa" w:w="23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执行淘汰、计分和排序</w:t>
            </w:r>
          </w:p>
        </w:tc>
        <w:tc>
          <w:tcPr>
            <w:tcW w:type="dxa" w:w="27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复现招标文件公式</w:t>
            </w:r>
          </w:p>
        </w:tc>
        <w:tc>
          <w:tcPr>
            <w:tcW w:type="dxa" w:w="266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生成或改写规则</w:t>
            </w:r>
          </w:p>
        </w:tc>
      </w:tr>
    </w:tbl>
    <w:p>
      <w:pPr>
        <w:spacing w:after="40"/>
      </w:pPr>
    </w:p>
    <w:p>
      <w:pPr>
        <w:pStyle w:val="Heading1"/>
        <w:keepNext/>
      </w:pPr>
      <w:r>
        <w:t>8. 核心决策逻辑</w:t>
      </w:r>
    </w:p>
    <w:p>
      <w:pPr>
        <w:pStyle w:val="Heading2"/>
        <w:keepNext/>
      </w:pPr>
      <w:r>
        <w:t>8.1 硬约束</w:t>
      </w:r>
    </w:p>
    <w:tbl>
      <w:tblPr>
        <w:tblW w:type="dxa" w:w="9360"/>
        <w:tblLayout w:type="fixed"/>
        <w:tblLook w:firstColumn="1" w:firstRow="1" w:lastColumn="0" w:lastRow="0" w:noHBand="0" w:noVBand="1" w:val="04A0"/>
        <w:tblBorders>
          <w:top w:val="single" w:sz="4" w:space="0" w:color="D7DDE2"/>
          <w:left w:val="single" w:sz="4" w:space="0" w:color="D7DDE2"/>
          <w:bottom w:val="single" w:sz="4" w:space="0" w:color="D7DDE2"/>
          <w:right w:val="single" w:sz="4" w:space="0" w:color="D7DDE2"/>
          <w:insideH w:val="single" w:sz="4" w:space="0" w:color="D7DDE2"/>
          <w:insideV w:val="single" w:sz="4" w:space="0" w:color="D7DDE2"/>
        </w:tblBorders>
        <w:tblInd w:w="120" w:type="dxa"/>
      </w:tblPr>
      <w:tblGrid>
        <w:gridCol w:w="9360"/>
      </w:tblGrid>
      <w:tr>
        <w:tc>
          <w:tcPr>
            <w:tcW w:type="dxa" w:w="9360"/>
            <w:shd w:fill="F2F4F7"/>
            <w:tcMar>
              <w:top w:w="100" w:type="dxa"/>
              <w:start w:w="120" w:type="dxa"/>
              <w:bottom w:w="100" w:type="dxa"/>
              <w:end w:w="120" w:type="dxa"/>
            </w:tcMar>
            <w:vAlign w:val="center"/>
          </w:tcPr>
          <w:p>
            <w:pPr>
              <w:spacing w:after="40" w:line="240" w:lineRule="auto"/>
            </w:pPr>
            <w:r>
              <w:rPr>
                <w:rFonts w:ascii="Consolas" w:hAnsi="Consolas" w:eastAsia="Microsoft YaHei"/>
                <w:color w:val="1F4D78"/>
                <w:sz w:val="17"/>
              </w:rPr>
              <w:t>有效投标 = 资格通过 AND 符合性通过 AND 报价不超过最高限价</w:t>
            </w:r>
          </w:p>
          <w:p>
            <w:pPr>
              <w:spacing w:after="40" w:line="240" w:lineRule="auto"/>
            </w:pPr>
            <w:r>
              <w:rPr>
                <w:rFonts w:ascii="Consolas" w:hAnsi="Consolas" w:eastAsia="Microsoft YaHei"/>
                <w:color w:val="1F4D78"/>
                <w:sz w:val="17"/>
              </w:rPr>
              <w:t>内部可行报价 = 有效投标 AND 毛利率 &gt;= 公司最低毛利率</w:t>
            </w:r>
          </w:p>
          <w:p>
            <w:pPr>
              <w:spacing w:after="40" w:line="240" w:lineRule="auto"/>
            </w:pPr>
            <w:r>
              <w:rPr>
                <w:rFonts w:ascii="Consolas" w:hAnsi="Consolas" w:eastAsia="Microsoft YaHei"/>
                <w:color w:val="1F4D78"/>
                <w:sz w:val="17"/>
              </w:rPr>
              <w:t>最低利润报价 = 预计成本 / (1 - 最低毛利率)</w:t>
            </w:r>
          </w:p>
        </w:tc>
      </w:tr>
    </w:tbl>
    <w:p>
      <w:pPr>
        <w:spacing w:after="40"/>
      </w:pPr>
    </w:p>
    <w:p>
      <w:pPr>
        <w:pStyle w:val="Heading2"/>
        <w:keepNext/>
      </w:pPr>
      <w:r>
        <w:t>8.2 综合评分示例</w:t>
      </w:r>
    </w:p>
    <w:tbl>
      <w:tblPr>
        <w:tblW w:type="dxa" w:w="9360"/>
        <w:tblLayout w:type="fixed"/>
        <w:tblLook w:firstColumn="1" w:firstRow="1" w:lastColumn="0" w:lastRow="0" w:noHBand="0" w:noVBand="1" w:val="04A0"/>
        <w:tblBorders>
          <w:top w:val="single" w:sz="4" w:space="0" w:color="D7DDE2"/>
          <w:left w:val="single" w:sz="4" w:space="0" w:color="D7DDE2"/>
          <w:bottom w:val="single" w:sz="4" w:space="0" w:color="D7DDE2"/>
          <w:right w:val="single" w:sz="4" w:space="0" w:color="D7DDE2"/>
          <w:insideH w:val="single" w:sz="4" w:space="0" w:color="D7DDE2"/>
          <w:insideV w:val="single" w:sz="4" w:space="0" w:color="D7DDE2"/>
        </w:tblBorders>
        <w:tblInd w:w="120" w:type="dxa"/>
      </w:tblPr>
      <w:tblGrid>
        <w:gridCol w:w="9360"/>
      </w:tblGrid>
      <w:tr>
        <w:tc>
          <w:tcPr>
            <w:tcW w:type="dxa" w:w="9360"/>
            <w:shd w:fill="F2F4F7"/>
            <w:tcMar>
              <w:top w:w="100" w:type="dxa"/>
              <w:start w:w="120" w:type="dxa"/>
              <w:bottom w:w="100" w:type="dxa"/>
              <w:end w:w="120" w:type="dxa"/>
            </w:tcMar>
            <w:vAlign w:val="center"/>
          </w:tcPr>
          <w:p>
            <w:pPr>
              <w:spacing w:after="40" w:line="240" w:lineRule="auto"/>
            </w:pPr>
            <w:r>
              <w:rPr>
                <w:rFonts w:ascii="Consolas" w:hAnsi="Consolas" w:eastAsia="Microsoft YaHei"/>
                <w:color w:val="1F4D78"/>
                <w:sz w:val="17"/>
              </w:rPr>
              <w:t>价格得分 = 最低有效评标价 / 本投标评标价 × 价格权重</w:t>
            </w:r>
          </w:p>
          <w:p>
            <w:pPr>
              <w:spacing w:after="40" w:line="240" w:lineRule="auto"/>
            </w:pPr>
            <w:r>
              <w:rPr>
                <w:rFonts w:ascii="Consolas" w:hAnsi="Consolas" w:eastAsia="Microsoft YaHei"/>
                <w:color w:val="1F4D78"/>
                <w:sz w:val="17"/>
              </w:rPr>
              <w:t>模拟总分 = 价格得分 + 技术得分 + 商务得分 + 服务得分</w:t>
            </w:r>
          </w:p>
          <w:p>
            <w:pPr>
              <w:spacing w:after="40" w:line="240" w:lineRule="auto"/>
            </w:pPr>
            <w:r>
              <w:rPr>
                <w:rFonts w:ascii="Consolas" w:hAnsi="Consolas" w:eastAsia="Microsoft YaHei"/>
                <w:color w:val="1F4D78"/>
                <w:sz w:val="17"/>
              </w:rPr>
              <w:t>注意：实际项目必须替换为招标文件载明的公式。</w:t>
            </w:r>
          </w:p>
        </w:tc>
      </w:tr>
    </w:tbl>
    <w:p>
      <w:pPr>
        <w:spacing w:after="40"/>
      </w:pPr>
    </w:p>
    <w:p>
      <w:pPr>
        <w:pStyle w:val="Heading2"/>
        <w:keepNext/>
      </w:pPr>
      <w:r>
        <w:t>8.3 优化目标</w:t>
      </w:r>
    </w:p>
    <w:p>
      <w:pPr>
        <w:pStyle w:val="ListBullet"/>
      </w:pPr>
      <w:r>
        <w:rPr>
          <w:rFonts w:ascii="Calibri" w:hAnsi="Calibri" w:eastAsia="Microsoft YaHei"/>
          <w:color w:val="1D2B26"/>
          <w:sz w:val="22"/>
        </w:rPr>
        <w:t>中标概率优先：在利润底线内提高模拟胜出概率。</w:t>
      </w:r>
    </w:p>
    <w:p>
      <w:pPr>
        <w:pStyle w:val="ListBullet"/>
      </w:pPr>
      <w:r>
        <w:rPr>
          <w:rFonts w:ascii="Calibri" w:hAnsi="Calibri" w:eastAsia="Microsoft YaHei"/>
          <w:color w:val="1D2B26"/>
          <w:sz w:val="22"/>
        </w:rPr>
        <w:t>期望利润优先：中标概率 ×（报价 - 预计成本）。</w:t>
      </w:r>
    </w:p>
    <w:p>
      <w:pPr>
        <w:pStyle w:val="ListBullet"/>
      </w:pPr>
      <w:r>
        <w:rPr>
          <w:rFonts w:ascii="Calibri" w:hAnsi="Calibri" w:eastAsia="Microsoft YaHei"/>
          <w:color w:val="1D2B26"/>
          <w:sz w:val="22"/>
        </w:rPr>
        <w:t>稳健收益优先：在期望利润基础上扣除异常低价和不确定性风险。</w:t>
      </w:r>
    </w:p>
    <w:p>
      <w:pPr>
        <w:pStyle w:val="Heading1"/>
        <w:keepNext/>
      </w:pPr>
      <w:r>
        <w:t>9. 核心数据对象</w:t>
      </w:r>
    </w:p>
    <w:tbl>
      <w:tblPr>
        <w:tblW w:type="dxa" w:w="9360"/>
        <w:jc w:val="left"/>
        <w:tblLayout w:type="fixed"/>
        <w:tblLook w:firstColumn="1" w:firstRow="1" w:lastColumn="0" w:lastRow="0" w:noHBand="0" w:noVBand="1" w:val="04A0"/>
        <w:tblBorders>
          <w:top w:val="single" w:sz="4" w:space="0" w:color="D7DDE2"/>
          <w:left w:val="single" w:sz="4" w:space="0" w:color="D7DDE2"/>
          <w:bottom w:val="single" w:sz="4" w:space="0" w:color="D7DDE2"/>
          <w:right w:val="single" w:sz="4" w:space="0" w:color="D7DDE2"/>
          <w:insideH w:val="single" w:sz="4" w:space="0" w:color="D7DDE2"/>
          <w:insideV w:val="single" w:sz="4" w:space="0" w:color="D7DDE2"/>
        </w:tblBorders>
        <w:tblInd w:w="120" w:type="dxa"/>
      </w:tblPr>
      <w:tblGrid>
        <w:gridCol w:w="1600"/>
        <w:gridCol w:w="4800"/>
        <w:gridCol w:w="2960"/>
      </w:tblGrid>
      <w:tr>
        <w:trPr>
          <w:tblHeader w:val="true"/>
        </w:trPr>
        <w:tc>
          <w:tcPr>
            <w:tcW w:type="dxa" w:w="1600"/>
            <w:shd w:fill="E8EEF5"/>
            <w:vAlign w:val="center"/>
            <w:tcMar>
              <w:top w:w="100" w:type="dxa"/>
              <w:start w:w="120" w:type="dxa"/>
              <w:bottom w:w="100" w:type="dxa"/>
              <w:end w:w="120" w:type="dxa"/>
            </w:tcMar>
          </w:tcPr>
          <w:p>
            <w:pPr>
              <w:spacing w:before="20" w:after="20" w:line="252" w:lineRule="auto"/>
              <w:jc w:val="left"/>
            </w:pPr>
            <w:r>
              <w:rPr>
                <w:rFonts w:ascii="Calibri" w:hAnsi="Calibri" w:eastAsia="Microsoft YaHei"/>
                <w:b/>
                <w:color w:val="1D2B26"/>
                <w:sz w:val="18"/>
              </w:rPr>
              <w:t>对象</w:t>
            </w:r>
          </w:p>
        </w:tc>
        <w:tc>
          <w:tcPr>
            <w:tcW w:type="dxa" w:w="4800"/>
            <w:shd w:fill="E8EEF5"/>
            <w:vAlign w:val="center"/>
            <w:tcMar>
              <w:top w:w="100" w:type="dxa"/>
              <w:start w:w="120" w:type="dxa"/>
              <w:bottom w:w="100" w:type="dxa"/>
              <w:end w:w="120" w:type="dxa"/>
            </w:tcMar>
          </w:tcPr>
          <w:p>
            <w:pPr>
              <w:spacing w:before="20" w:after="20" w:line="252" w:lineRule="auto"/>
              <w:jc w:val="left"/>
            </w:pPr>
            <w:r>
              <w:rPr>
                <w:rFonts w:ascii="Calibri" w:hAnsi="Calibri" w:eastAsia="Microsoft YaHei"/>
                <w:b/>
                <w:color w:val="1D2B26"/>
                <w:sz w:val="18"/>
              </w:rPr>
              <w:t>关键字段</w:t>
            </w:r>
          </w:p>
        </w:tc>
        <w:tc>
          <w:tcPr>
            <w:tcW w:type="dxa" w:w="2960"/>
            <w:shd w:fill="E8EEF5"/>
            <w:vAlign w:val="center"/>
            <w:tcMar>
              <w:top w:w="100" w:type="dxa"/>
              <w:start w:w="120" w:type="dxa"/>
              <w:bottom w:w="100" w:type="dxa"/>
              <w:end w:w="120" w:type="dxa"/>
            </w:tcMar>
          </w:tcPr>
          <w:p>
            <w:pPr>
              <w:spacing w:before="20" w:after="20" w:line="252" w:lineRule="auto"/>
              <w:jc w:val="left"/>
            </w:pPr>
            <w:r>
              <w:rPr>
                <w:rFonts w:ascii="Calibri" w:hAnsi="Calibri" w:eastAsia="Microsoft YaHei"/>
                <w:b/>
                <w:color w:val="1D2B26"/>
                <w:sz w:val="18"/>
              </w:rPr>
              <w:t>用途</w:t>
            </w:r>
          </w:p>
        </w:tc>
      </w:tr>
      <w:tr>
        <w:tc>
          <w:tcPr>
            <w:tcW w:type="dxa" w:w="16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Project</w:t>
            </w:r>
          </w:p>
        </w:tc>
        <w:tc>
          <w:tcPr>
            <w:tcW w:type="dxa" w:w="48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项目编号、采购类别、状态、负责人</w:t>
            </w:r>
          </w:p>
        </w:tc>
        <w:tc>
          <w:tcPr>
            <w:tcW w:type="dxa" w:w="296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承载一次投标决策</w:t>
            </w:r>
          </w:p>
        </w:tc>
      </w:tr>
      <w:tr>
        <w:tc>
          <w:tcPr>
            <w:tcW w:type="dxa" w:w="16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Document</w:t>
            </w:r>
          </w:p>
        </w:tc>
        <w:tc>
          <w:tcPr>
            <w:tcW w:type="dxa" w:w="48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文件、类型、来源、哈希、版本、处理状态</w:t>
            </w:r>
          </w:p>
        </w:tc>
        <w:tc>
          <w:tcPr>
            <w:tcW w:type="dxa" w:w="296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管理原始招标/企业材料</w:t>
            </w:r>
          </w:p>
        </w:tc>
      </w:tr>
      <w:tr>
        <w:tc>
          <w:tcPr>
            <w:tcW w:type="dxa" w:w="16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RuleVersion</w:t>
            </w:r>
          </w:p>
        </w:tc>
        <w:tc>
          <w:tcPr>
            <w:tcW w:type="dxa" w:w="48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方法、限价、权重、公式、确认人</w:t>
            </w:r>
          </w:p>
        </w:tc>
        <w:tc>
          <w:tcPr>
            <w:tcW w:type="dxa" w:w="296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锁定项目规则基线</w:t>
            </w:r>
          </w:p>
        </w:tc>
      </w:tr>
      <w:tr>
        <w:tc>
          <w:tcPr>
            <w:tcW w:type="dxa" w:w="16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Requirement</w:t>
            </w:r>
          </w:p>
        </w:tc>
        <w:tc>
          <w:tcPr>
            <w:tcW w:type="dxa" w:w="48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类型、强制性、分值、证据要求、来源</w:t>
            </w:r>
          </w:p>
        </w:tc>
        <w:tc>
          <w:tcPr>
            <w:tcW w:type="dxa" w:w="296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资格/符合性/评分的原子单元</w:t>
            </w:r>
          </w:p>
        </w:tc>
      </w:tr>
      <w:tr>
        <w:tc>
          <w:tcPr>
            <w:tcW w:type="dxa" w:w="16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Evidence</w:t>
            </w:r>
          </w:p>
        </w:tc>
        <w:tc>
          <w:tcPr>
            <w:tcW w:type="dxa" w:w="48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类型、主体、有效期、原文定位、敏感级</w:t>
            </w:r>
          </w:p>
        </w:tc>
        <w:tc>
          <w:tcPr>
            <w:tcW w:type="dxa" w:w="296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企业可复用证明材料</w:t>
            </w:r>
          </w:p>
        </w:tc>
      </w:tr>
      <w:tr>
        <w:tc>
          <w:tcPr>
            <w:tcW w:type="dxa" w:w="16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EvidenceMatch</w:t>
            </w:r>
          </w:p>
        </w:tc>
        <w:tc>
          <w:tcPr>
            <w:tcW w:type="dxa" w:w="48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要求、证据、状态、置信度、复核人</w:t>
            </w:r>
          </w:p>
        </w:tc>
        <w:tc>
          <w:tcPr>
            <w:tcW w:type="dxa" w:w="296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形成双向匹配矩阵</w:t>
            </w:r>
          </w:p>
        </w:tc>
      </w:tr>
      <w:tr>
        <w:tc>
          <w:tcPr>
            <w:tcW w:type="dxa" w:w="16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Scenario</w:t>
            </w:r>
          </w:p>
        </w:tc>
        <w:tc>
          <w:tcPr>
            <w:tcW w:type="dxa" w:w="48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成本、报价、利润、竞争强度、目标</w:t>
            </w:r>
          </w:p>
        </w:tc>
        <w:tc>
          <w:tcPr>
            <w:tcW w:type="dxa" w:w="296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一次竞标模拟输入</w:t>
            </w:r>
          </w:p>
        </w:tc>
      </w:tr>
      <w:tr>
        <w:tc>
          <w:tcPr>
            <w:tcW w:type="dxa" w:w="16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AgentResult</w:t>
            </w:r>
          </w:p>
        </w:tc>
        <w:tc>
          <w:tcPr>
            <w:tcW w:type="dxa" w:w="48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有效性、分项得分、排名、概率、原因</w:t>
            </w:r>
          </w:p>
        </w:tc>
        <w:tc>
          <w:tcPr>
            <w:tcW w:type="dxa" w:w="296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多智能体竞演输出</w:t>
            </w:r>
          </w:p>
        </w:tc>
      </w:tr>
      <w:tr>
        <w:tc>
          <w:tcPr>
            <w:tcW w:type="dxa" w:w="16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DecisionReport</w:t>
            </w:r>
          </w:p>
        </w:tc>
        <w:tc>
          <w:tcPr>
            <w:tcW w:type="dxa" w:w="48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结论、假设、风险、待办、审批记录</w:t>
            </w:r>
          </w:p>
        </w:tc>
        <w:tc>
          <w:tcPr>
            <w:tcW w:type="dxa" w:w="296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管理层决策与审计</w:t>
            </w:r>
          </w:p>
        </w:tc>
      </w:tr>
    </w:tbl>
    <w:p>
      <w:pPr>
        <w:spacing w:after="40"/>
      </w:pPr>
    </w:p>
    <w:p>
      <w:pPr>
        <w:pStyle w:val="Heading1"/>
        <w:keepNext/>
      </w:pPr>
      <w:r>
        <w:t>10. Demo 与正式版边界</w:t>
      </w:r>
    </w:p>
    <w:tbl>
      <w:tblPr>
        <w:tblW w:type="dxa" w:w="9360"/>
        <w:jc w:val="left"/>
        <w:tblLayout w:type="fixed"/>
        <w:tblLook w:firstColumn="1" w:firstRow="1" w:lastColumn="0" w:lastRow="0" w:noHBand="0" w:noVBand="1" w:val="04A0"/>
        <w:tblBorders>
          <w:top w:val="single" w:sz="4" w:space="0" w:color="D7DDE2"/>
          <w:left w:val="single" w:sz="4" w:space="0" w:color="D7DDE2"/>
          <w:bottom w:val="single" w:sz="4" w:space="0" w:color="D7DDE2"/>
          <w:right w:val="single" w:sz="4" w:space="0" w:color="D7DDE2"/>
          <w:insideH w:val="single" w:sz="4" w:space="0" w:color="D7DDE2"/>
          <w:insideV w:val="single" w:sz="4" w:space="0" w:color="D7DDE2"/>
        </w:tblBorders>
        <w:tblInd w:w="120" w:type="dxa"/>
      </w:tblPr>
      <w:tblGrid>
        <w:gridCol w:w="1700"/>
        <w:gridCol w:w="3250"/>
        <w:gridCol w:w="4410"/>
      </w:tblGrid>
      <w:tr>
        <w:trPr>
          <w:tblHeader w:val="true"/>
        </w:trPr>
        <w:tc>
          <w:tcPr>
            <w:tcW w:type="dxa" w:w="1700"/>
            <w:shd w:fill="E8EEF5"/>
            <w:vAlign w:val="center"/>
            <w:tcMar>
              <w:top w:w="100" w:type="dxa"/>
              <w:start w:w="120" w:type="dxa"/>
              <w:bottom w:w="100" w:type="dxa"/>
              <w:end w:w="120" w:type="dxa"/>
            </w:tcMar>
          </w:tcPr>
          <w:p>
            <w:pPr>
              <w:spacing w:before="20" w:after="20" w:line="252" w:lineRule="auto"/>
              <w:jc w:val="left"/>
            </w:pPr>
            <w:r>
              <w:rPr>
                <w:rFonts w:ascii="Calibri" w:hAnsi="Calibri" w:eastAsia="Microsoft YaHei"/>
                <w:b/>
                <w:color w:val="1D2B26"/>
                <w:sz w:val="18"/>
              </w:rPr>
              <w:t>能力</w:t>
            </w:r>
          </w:p>
        </w:tc>
        <w:tc>
          <w:tcPr>
            <w:tcW w:type="dxa" w:w="3250"/>
            <w:shd w:fill="E8EEF5"/>
            <w:vAlign w:val="center"/>
            <w:tcMar>
              <w:top w:w="100" w:type="dxa"/>
              <w:start w:w="120" w:type="dxa"/>
              <w:bottom w:w="100" w:type="dxa"/>
              <w:end w:w="120" w:type="dxa"/>
            </w:tcMar>
          </w:tcPr>
          <w:p>
            <w:pPr>
              <w:spacing w:before="20" w:after="20" w:line="252" w:lineRule="auto"/>
              <w:jc w:val="left"/>
            </w:pPr>
            <w:r>
              <w:rPr>
                <w:rFonts w:ascii="Calibri" w:hAnsi="Calibri" w:eastAsia="Microsoft YaHei"/>
                <w:b/>
                <w:color w:val="1D2B26"/>
                <w:sz w:val="18"/>
              </w:rPr>
              <w:t>当前前端 Demo</w:t>
            </w:r>
          </w:p>
        </w:tc>
        <w:tc>
          <w:tcPr>
            <w:tcW w:type="dxa" w:w="4410"/>
            <w:shd w:fill="E8EEF5"/>
            <w:vAlign w:val="center"/>
            <w:tcMar>
              <w:top w:w="100" w:type="dxa"/>
              <w:start w:w="120" w:type="dxa"/>
              <w:bottom w:w="100" w:type="dxa"/>
              <w:end w:w="120" w:type="dxa"/>
            </w:tcMar>
          </w:tcPr>
          <w:p>
            <w:pPr>
              <w:spacing w:before="20" w:after="20" w:line="252" w:lineRule="auto"/>
              <w:jc w:val="left"/>
            </w:pPr>
            <w:r>
              <w:rPr>
                <w:rFonts w:ascii="Calibri" w:hAnsi="Calibri" w:eastAsia="Microsoft YaHei"/>
                <w:b/>
                <w:color w:val="1D2B26"/>
                <w:sz w:val="18"/>
              </w:rPr>
              <w:t>正式版要求</w:t>
            </w:r>
          </w:p>
        </w:tc>
      </w:tr>
      <w:tr>
        <w:tc>
          <w:tcPr>
            <w:tcW w:type="dxa" w:w="17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文件上传</w:t>
            </w:r>
          </w:p>
        </w:tc>
        <w:tc>
          <w:tcPr>
            <w:tcW w:type="dxa" w:w="325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记录文件名、大小和类型，不读取正文</w:t>
            </w:r>
          </w:p>
        </w:tc>
        <w:tc>
          <w:tcPr>
            <w:tcW w:type="dxa" w:w="441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加密对象存储、病毒扫描、权限和版本</w:t>
            </w:r>
          </w:p>
        </w:tc>
      </w:tr>
      <w:tr>
        <w:tc>
          <w:tcPr>
            <w:tcW w:type="dxa" w:w="17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文档解析</w:t>
            </w:r>
          </w:p>
        </w:tc>
        <w:tc>
          <w:tcPr>
            <w:tcW w:type="dxa" w:w="325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定时动画 + 项目模拟规则</w:t>
            </w:r>
          </w:p>
        </w:tc>
        <w:tc>
          <w:tcPr>
            <w:tcW w:type="dxa" w:w="441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OCR、版面解析、表格识别、LLM 抽取和校验</w:t>
            </w:r>
          </w:p>
        </w:tc>
      </w:tr>
      <w:tr>
        <w:tc>
          <w:tcPr>
            <w:tcW w:type="dxa" w:w="17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公司证据</w:t>
            </w:r>
          </w:p>
        </w:tc>
        <w:tc>
          <w:tcPr>
            <w:tcW w:type="dxa" w:w="325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模拟材料列表和匹配结果</w:t>
            </w:r>
          </w:p>
        </w:tc>
        <w:tc>
          <w:tcPr>
            <w:tcW w:type="dxa" w:w="441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企业证据库、有效期、主体、全文/向量索引</w:t>
            </w:r>
          </w:p>
        </w:tc>
      </w:tr>
      <w:tr>
        <w:tc>
          <w:tcPr>
            <w:tcW w:type="dxa" w:w="17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评标规则</w:t>
            </w:r>
          </w:p>
        </w:tc>
        <w:tc>
          <w:tcPr>
            <w:tcW w:type="dxa" w:w="325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三个项目模板和确定性前端函数</w:t>
            </w:r>
          </w:p>
        </w:tc>
        <w:tc>
          <w:tcPr>
            <w:tcW w:type="dxa" w:w="441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规则 DSL、版本管理、公式测试和人工确认</w:t>
            </w:r>
          </w:p>
        </w:tc>
      </w:tr>
      <w:tr>
        <w:tc>
          <w:tcPr>
            <w:tcW w:type="dxa" w:w="17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竞争模拟</w:t>
            </w:r>
          </w:p>
        </w:tc>
        <w:tc>
          <w:tcPr>
            <w:tcW w:type="dxa" w:w="325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四个固定画像 + 概率映射</w:t>
            </w:r>
          </w:p>
        </w:tc>
        <w:tc>
          <w:tcPr>
            <w:tcW w:type="dxa" w:w="441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历史数据校准、场景抽样、置信区间和模型评估</w:t>
            </w:r>
          </w:p>
        </w:tc>
      </w:tr>
      <w:tr>
        <w:tc>
          <w:tcPr>
            <w:tcW w:type="dxa" w:w="17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协作审计</w:t>
            </w:r>
          </w:p>
        </w:tc>
        <w:tc>
          <w:tcPr>
            <w:tcW w:type="dxa" w:w="325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本地状态与 JSON 导出</w:t>
            </w:r>
          </w:p>
        </w:tc>
        <w:tc>
          <w:tcPr>
            <w:tcW w:type="dxa" w:w="441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账号、角色、任务、审批、日志和留存策略</w:t>
            </w:r>
          </w:p>
        </w:tc>
      </w:tr>
    </w:tbl>
    <w:p>
      <w:pPr>
        <w:spacing w:after="40"/>
      </w:pPr>
    </w:p>
    <w:tbl>
      <w:tblPr>
        <w:tblW w:type="dxa" w:w="9360"/>
        <w:tblLayout w:type="fixed"/>
        <w:tblLook w:firstColumn="1" w:firstRow="1" w:lastColumn="0" w:lastRow="0" w:noHBand="0" w:noVBand="1" w:val="04A0"/>
        <w:tblBorders>
          <w:top w:val="single" w:sz="0" w:space="0" w:color="F2DDD6"/>
          <w:left w:val="single" w:sz="0" w:space="0" w:color="F2DDD6"/>
          <w:bottom w:val="single" w:sz="0" w:space="0" w:color="F2DDD6"/>
          <w:right w:val="single" w:sz="0" w:space="0" w:color="F2DDD6"/>
          <w:insideH w:val="single" w:sz="0" w:space="0" w:color="F2DDD6"/>
          <w:insideV w:val="single" w:sz="0" w:space="0" w:color="F2DDD6"/>
        </w:tblBorders>
        <w:tblInd w:w="120" w:type="dxa"/>
      </w:tblPr>
      <w:tblGrid>
        <w:gridCol w:w="9360"/>
      </w:tblGrid>
      <w:tr>
        <w:tc>
          <w:tcPr>
            <w:tcW w:type="dxa" w:w="9360"/>
            <w:shd w:fill="F2DDD6"/>
            <w:tcMar>
              <w:top w:w="100" w:type="dxa"/>
              <w:start w:w="120" w:type="dxa"/>
              <w:bottom w:w="100" w:type="dxa"/>
              <w:end w:w="120" w:type="dxa"/>
            </w:tcMar>
            <w:vAlign w:val="center"/>
          </w:tcPr>
          <w:p>
            <w:pPr>
              <w:spacing w:after="80"/>
            </w:pPr>
            <w:r>
              <w:rPr>
                <w:rFonts w:ascii="Calibri" w:hAnsi="Calibri" w:eastAsia="Microsoft YaHei"/>
                <w:b/>
                <w:color w:val="9B1C1C"/>
                <w:sz w:val="17"/>
              </w:rPr>
              <w:t>关键边界</w:t>
            </w:r>
          </w:p>
          <w:p>
            <w:pPr>
              <w:spacing w:after="0" w:line="276" w:lineRule="auto"/>
            </w:pPr>
            <w:r>
              <w:rPr>
                <w:rFonts w:ascii="Calibri" w:hAnsi="Calibri" w:eastAsia="Microsoft YaHei"/>
                <w:b/>
                <w:color w:val="1D2B26"/>
                <w:sz w:val="21"/>
              </w:rPr>
              <w:t>当前 Demo 可以用于确认产品流程、页面和决策逻辑，不可用于对真实招标文件作正式合规判断。</w:t>
            </w:r>
          </w:p>
        </w:tc>
      </w:tr>
    </w:tbl>
    <w:p>
      <w:pPr>
        <w:spacing w:after="40"/>
      </w:pPr>
    </w:p>
    <w:p>
      <w:pPr>
        <w:pStyle w:val="Heading1"/>
        <w:keepNext/>
      </w:pPr>
      <w:r>
        <w:t>11. 非功能需求</w:t>
      </w:r>
    </w:p>
    <w:tbl>
      <w:tblPr>
        <w:tblW w:type="dxa" w:w="9360"/>
        <w:jc w:val="left"/>
        <w:tblLayout w:type="fixed"/>
        <w:tblLook w:firstColumn="1" w:firstRow="1" w:lastColumn="0" w:lastRow="0" w:noHBand="0" w:noVBand="1" w:val="04A0"/>
        <w:tblBorders>
          <w:top w:val="single" w:sz="4" w:space="0" w:color="D7DDE2"/>
          <w:left w:val="single" w:sz="4" w:space="0" w:color="D7DDE2"/>
          <w:bottom w:val="single" w:sz="4" w:space="0" w:color="D7DDE2"/>
          <w:right w:val="single" w:sz="4" w:space="0" w:color="D7DDE2"/>
          <w:insideH w:val="single" w:sz="4" w:space="0" w:color="D7DDE2"/>
          <w:insideV w:val="single" w:sz="4" w:space="0" w:color="D7DDE2"/>
        </w:tblBorders>
        <w:tblInd w:w="120" w:type="dxa"/>
      </w:tblPr>
      <w:tblGrid>
        <w:gridCol w:w="1500"/>
        <w:gridCol w:w="5000"/>
        <w:gridCol w:w="2860"/>
      </w:tblGrid>
      <w:tr>
        <w:trPr>
          <w:tblHeader w:val="true"/>
        </w:trPr>
        <w:tc>
          <w:tcPr>
            <w:tcW w:type="dxa" w:w="1500"/>
            <w:shd w:fill="E8EEF5"/>
            <w:vAlign w:val="center"/>
            <w:tcMar>
              <w:top w:w="100" w:type="dxa"/>
              <w:start w:w="120" w:type="dxa"/>
              <w:bottom w:w="100" w:type="dxa"/>
              <w:end w:w="120" w:type="dxa"/>
            </w:tcMar>
          </w:tcPr>
          <w:p>
            <w:pPr>
              <w:spacing w:before="20" w:after="20" w:line="252" w:lineRule="auto"/>
              <w:jc w:val="left"/>
            </w:pPr>
            <w:r>
              <w:rPr>
                <w:rFonts w:ascii="Calibri" w:hAnsi="Calibri" w:eastAsia="Microsoft YaHei"/>
                <w:b/>
                <w:color w:val="1D2B26"/>
                <w:sz w:val="18"/>
              </w:rPr>
              <w:t>领域</w:t>
            </w:r>
          </w:p>
        </w:tc>
        <w:tc>
          <w:tcPr>
            <w:tcW w:type="dxa" w:w="5000"/>
            <w:shd w:fill="E8EEF5"/>
            <w:vAlign w:val="center"/>
            <w:tcMar>
              <w:top w:w="100" w:type="dxa"/>
              <w:start w:w="120" w:type="dxa"/>
              <w:bottom w:w="100" w:type="dxa"/>
              <w:end w:w="120" w:type="dxa"/>
            </w:tcMar>
          </w:tcPr>
          <w:p>
            <w:pPr>
              <w:spacing w:before="20" w:after="20" w:line="252" w:lineRule="auto"/>
              <w:jc w:val="left"/>
            </w:pPr>
            <w:r>
              <w:rPr>
                <w:rFonts w:ascii="Calibri" w:hAnsi="Calibri" w:eastAsia="Microsoft YaHei"/>
                <w:b/>
                <w:color w:val="1D2B26"/>
                <w:sz w:val="18"/>
              </w:rPr>
              <w:t>要求</w:t>
            </w:r>
          </w:p>
        </w:tc>
        <w:tc>
          <w:tcPr>
            <w:tcW w:type="dxa" w:w="2860"/>
            <w:shd w:fill="E8EEF5"/>
            <w:vAlign w:val="center"/>
            <w:tcMar>
              <w:top w:w="100" w:type="dxa"/>
              <w:start w:w="120" w:type="dxa"/>
              <w:bottom w:w="100" w:type="dxa"/>
              <w:end w:w="120" w:type="dxa"/>
            </w:tcMar>
          </w:tcPr>
          <w:p>
            <w:pPr>
              <w:spacing w:before="20" w:after="20" w:line="252" w:lineRule="auto"/>
              <w:jc w:val="left"/>
            </w:pPr>
            <w:r>
              <w:rPr>
                <w:rFonts w:ascii="Calibri" w:hAnsi="Calibri" w:eastAsia="Microsoft YaHei"/>
                <w:b/>
                <w:color w:val="1D2B26"/>
                <w:sz w:val="18"/>
              </w:rPr>
              <w:t>验收参考</w:t>
            </w:r>
          </w:p>
        </w:tc>
      </w:tr>
      <w:tr>
        <w:tc>
          <w:tcPr>
            <w:tcW w:type="dxa" w:w="15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安全</w:t>
            </w:r>
          </w:p>
        </w:tc>
        <w:tc>
          <w:tcPr>
            <w:tcW w:type="dxa" w:w="50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传输与静态加密、租户隔离、最小权限、敏感文件水印</w:t>
            </w:r>
          </w:p>
        </w:tc>
        <w:tc>
          <w:tcPr>
            <w:tcW w:type="dxa" w:w="286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通过安全评审与渗透测试</w:t>
            </w:r>
          </w:p>
        </w:tc>
      </w:tr>
      <w:tr>
        <w:tc>
          <w:tcPr>
            <w:tcW w:type="dxa" w:w="15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隐私</w:t>
            </w:r>
          </w:p>
        </w:tc>
        <w:tc>
          <w:tcPr>
            <w:tcW w:type="dxa" w:w="50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文件用途告知、保留期限、删除能力、模型训练隔离</w:t>
            </w:r>
          </w:p>
        </w:tc>
        <w:tc>
          <w:tcPr>
            <w:tcW w:type="dxa" w:w="286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可追踪数据生命周期</w:t>
            </w:r>
          </w:p>
        </w:tc>
      </w:tr>
      <w:tr>
        <w:tc>
          <w:tcPr>
            <w:tcW w:type="dxa" w:w="15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可靠性</w:t>
            </w:r>
          </w:p>
        </w:tc>
        <w:tc>
          <w:tcPr>
            <w:tcW w:type="dxa" w:w="50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解析任务可重试、幂等、断点续传，规则引擎结果可复现</w:t>
            </w:r>
          </w:p>
        </w:tc>
        <w:tc>
          <w:tcPr>
            <w:tcW w:type="dxa" w:w="286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关键任务成功率 ≥ 99.5%</w:t>
            </w:r>
          </w:p>
        </w:tc>
      </w:tr>
      <w:tr>
        <w:tc>
          <w:tcPr>
            <w:tcW w:type="dxa" w:w="15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性能</w:t>
            </w:r>
          </w:p>
        </w:tc>
        <w:tc>
          <w:tcPr>
            <w:tcW w:type="dxa" w:w="50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上传即时反馈，常规项目在可接受时间内形成规则初稿</w:t>
            </w:r>
          </w:p>
        </w:tc>
        <w:tc>
          <w:tcPr>
            <w:tcW w:type="dxa" w:w="286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100 页 PDF 初稿目标 ≤ 5 分钟</w:t>
            </w:r>
          </w:p>
        </w:tc>
      </w:tr>
      <w:tr>
        <w:tc>
          <w:tcPr>
            <w:tcW w:type="dxa" w:w="15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可解释性</w:t>
            </w:r>
          </w:p>
        </w:tc>
        <w:tc>
          <w:tcPr>
            <w:tcW w:type="dxa" w:w="50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每条判断含来源、证据、置信度、公式和版本</w:t>
            </w:r>
          </w:p>
        </w:tc>
        <w:tc>
          <w:tcPr>
            <w:tcW w:type="dxa" w:w="286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关键结论追溯覆盖率 100%</w:t>
            </w:r>
          </w:p>
        </w:tc>
      </w:tr>
      <w:tr>
        <w:tc>
          <w:tcPr>
            <w:tcW w:type="dxa" w:w="15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可访问性</w:t>
            </w:r>
          </w:p>
        </w:tc>
        <w:tc>
          <w:tcPr>
            <w:tcW w:type="dxa" w:w="50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键盘操作、可见焦点、屏幕阅读器标签、颜色非唯一编码</w:t>
            </w:r>
          </w:p>
        </w:tc>
        <w:tc>
          <w:tcPr>
            <w:tcW w:type="dxa" w:w="286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核心流程满足 WCAG 2.1 AA</w:t>
            </w:r>
          </w:p>
        </w:tc>
      </w:tr>
    </w:tbl>
    <w:p>
      <w:pPr>
        <w:spacing w:after="40"/>
      </w:pPr>
    </w:p>
    <w:p>
      <w:pPr>
        <w:pStyle w:val="Heading1"/>
        <w:keepNext/>
      </w:pPr>
      <w:r>
        <w:t>12. 产品指标</w:t>
      </w:r>
    </w:p>
    <w:tbl>
      <w:tblPr>
        <w:tblW w:type="dxa" w:w="9360"/>
        <w:jc w:val="left"/>
        <w:tblLayout w:type="fixed"/>
        <w:tblLook w:firstColumn="1" w:firstRow="1" w:lastColumn="0" w:lastRow="0" w:noHBand="0" w:noVBand="1" w:val="04A0"/>
        <w:tblBorders>
          <w:top w:val="single" w:sz="4" w:space="0" w:color="D7DDE2"/>
          <w:left w:val="single" w:sz="4" w:space="0" w:color="D7DDE2"/>
          <w:bottom w:val="single" w:sz="4" w:space="0" w:color="D7DDE2"/>
          <w:right w:val="single" w:sz="4" w:space="0" w:color="D7DDE2"/>
          <w:insideH w:val="single" w:sz="4" w:space="0" w:color="D7DDE2"/>
          <w:insideV w:val="single" w:sz="4" w:space="0" w:color="D7DDE2"/>
        </w:tblBorders>
        <w:tblInd w:w="120" w:type="dxa"/>
      </w:tblPr>
      <w:tblGrid>
        <w:gridCol w:w="1450"/>
        <w:gridCol w:w="4850"/>
        <w:gridCol w:w="3060"/>
      </w:tblGrid>
      <w:tr>
        <w:trPr>
          <w:tblHeader w:val="true"/>
        </w:trPr>
        <w:tc>
          <w:tcPr>
            <w:tcW w:type="dxa" w:w="1450"/>
            <w:shd w:fill="E8EEF5"/>
            <w:vAlign w:val="center"/>
            <w:tcMar>
              <w:top w:w="100" w:type="dxa"/>
              <w:start w:w="120" w:type="dxa"/>
              <w:bottom w:w="100" w:type="dxa"/>
              <w:end w:w="120" w:type="dxa"/>
            </w:tcMar>
          </w:tcPr>
          <w:p>
            <w:pPr>
              <w:spacing w:before="20" w:after="20" w:line="252" w:lineRule="auto"/>
              <w:jc w:val="left"/>
            </w:pPr>
            <w:r>
              <w:rPr>
                <w:rFonts w:ascii="Calibri" w:hAnsi="Calibri" w:eastAsia="Microsoft YaHei"/>
                <w:b/>
                <w:color w:val="1D2B26"/>
                <w:sz w:val="18"/>
              </w:rPr>
              <w:t>层级</w:t>
            </w:r>
          </w:p>
        </w:tc>
        <w:tc>
          <w:tcPr>
            <w:tcW w:type="dxa" w:w="4850"/>
            <w:shd w:fill="E8EEF5"/>
            <w:vAlign w:val="center"/>
            <w:tcMar>
              <w:top w:w="100" w:type="dxa"/>
              <w:start w:w="120" w:type="dxa"/>
              <w:bottom w:w="100" w:type="dxa"/>
              <w:end w:w="120" w:type="dxa"/>
            </w:tcMar>
          </w:tcPr>
          <w:p>
            <w:pPr>
              <w:spacing w:before="20" w:after="20" w:line="252" w:lineRule="auto"/>
              <w:jc w:val="left"/>
            </w:pPr>
            <w:r>
              <w:rPr>
                <w:rFonts w:ascii="Calibri" w:hAnsi="Calibri" w:eastAsia="Microsoft YaHei"/>
                <w:b/>
                <w:color w:val="1D2B26"/>
                <w:sz w:val="18"/>
              </w:rPr>
              <w:t>指标</w:t>
            </w:r>
          </w:p>
        </w:tc>
        <w:tc>
          <w:tcPr>
            <w:tcW w:type="dxa" w:w="3060"/>
            <w:shd w:fill="E8EEF5"/>
            <w:vAlign w:val="center"/>
            <w:tcMar>
              <w:top w:w="100" w:type="dxa"/>
              <w:start w:w="120" w:type="dxa"/>
              <w:bottom w:w="100" w:type="dxa"/>
              <w:end w:w="120" w:type="dxa"/>
            </w:tcMar>
          </w:tcPr>
          <w:p>
            <w:pPr>
              <w:spacing w:before="20" w:after="20" w:line="252" w:lineRule="auto"/>
              <w:jc w:val="left"/>
            </w:pPr>
            <w:r>
              <w:rPr>
                <w:rFonts w:ascii="Calibri" w:hAnsi="Calibri" w:eastAsia="Microsoft YaHei"/>
                <w:b/>
                <w:color w:val="1D2B26"/>
                <w:sz w:val="18"/>
              </w:rPr>
              <w:t>建议口径</w:t>
            </w:r>
          </w:p>
        </w:tc>
      </w:tr>
      <w:tr>
        <w:tc>
          <w:tcPr>
            <w:tcW w:type="dxa" w:w="145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北极星</w:t>
            </w:r>
          </w:p>
        </w:tc>
        <w:tc>
          <w:tcPr>
            <w:tcW w:type="dxa" w:w="485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从项目创建到形成可复核 Bid/No-Bid 建议的中位时长</w:t>
            </w:r>
          </w:p>
        </w:tc>
        <w:tc>
          <w:tcPr>
            <w:tcW w:type="dxa" w:w="306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按项目、采购类别分层统计</w:t>
            </w:r>
          </w:p>
        </w:tc>
      </w:tr>
      <w:tr>
        <w:tc>
          <w:tcPr>
            <w:tcW w:type="dxa" w:w="145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效率</w:t>
            </w:r>
          </w:p>
        </w:tc>
        <w:tc>
          <w:tcPr>
            <w:tcW w:type="dxa" w:w="485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招标文件人工阅读时间下降比例</w:t>
            </w:r>
          </w:p>
        </w:tc>
        <w:tc>
          <w:tcPr>
            <w:tcW w:type="dxa" w:w="306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试点前后同类项目对比</w:t>
            </w:r>
          </w:p>
        </w:tc>
      </w:tr>
      <w:tr>
        <w:tc>
          <w:tcPr>
            <w:tcW w:type="dxa" w:w="145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质量</w:t>
            </w:r>
          </w:p>
        </w:tc>
        <w:tc>
          <w:tcPr>
            <w:tcW w:type="dxa" w:w="485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强制条款召回率、规则纠错率</w:t>
            </w:r>
          </w:p>
        </w:tc>
        <w:tc>
          <w:tcPr>
            <w:tcW w:type="dxa" w:w="306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以人工金标准集评估</w:t>
            </w:r>
          </w:p>
        </w:tc>
      </w:tr>
      <w:tr>
        <w:tc>
          <w:tcPr>
            <w:tcW w:type="dxa" w:w="145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覆盖</w:t>
            </w:r>
          </w:p>
        </w:tc>
        <w:tc>
          <w:tcPr>
            <w:tcW w:type="dxa" w:w="485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强制要求证据匹配覆盖率</w:t>
            </w:r>
          </w:p>
        </w:tc>
        <w:tc>
          <w:tcPr>
            <w:tcW w:type="dxa" w:w="306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已满足/全部强制要求</w:t>
            </w:r>
          </w:p>
        </w:tc>
      </w:tr>
      <w:tr>
        <w:tc>
          <w:tcPr>
            <w:tcW w:type="dxa" w:w="145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协作</w:t>
            </w:r>
          </w:p>
        </w:tc>
        <w:tc>
          <w:tcPr>
            <w:tcW w:type="dxa" w:w="485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封标前缺口按时闭环率</w:t>
            </w:r>
          </w:p>
        </w:tc>
        <w:tc>
          <w:tcPr>
            <w:tcW w:type="dxa" w:w="306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按任务截止时间统计</w:t>
            </w:r>
          </w:p>
        </w:tc>
      </w:tr>
      <w:tr>
        <w:tc>
          <w:tcPr>
            <w:tcW w:type="dxa" w:w="145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决策</w:t>
            </w:r>
          </w:p>
        </w:tc>
        <w:tc>
          <w:tcPr>
            <w:tcW w:type="dxa" w:w="485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报价建议被采纳率与采纳原因</w:t>
            </w:r>
          </w:p>
        </w:tc>
        <w:tc>
          <w:tcPr>
            <w:tcW w:type="dxa" w:w="306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区分胜率/利润/稳健目标</w:t>
            </w:r>
          </w:p>
        </w:tc>
      </w:tr>
    </w:tbl>
    <w:p>
      <w:pPr>
        <w:spacing w:after="40"/>
      </w:pPr>
    </w:p>
    <w:p>
      <w:pPr>
        <w:pStyle w:val="Heading1"/>
        <w:keepNext/>
      </w:pPr>
      <w:r>
        <w:t>13. 路线图</w:t>
      </w:r>
    </w:p>
    <w:tbl>
      <w:tblPr>
        <w:tblW w:type="dxa" w:w="9360"/>
        <w:jc w:val="left"/>
        <w:tblLayout w:type="fixed"/>
        <w:tblLook w:firstColumn="1" w:firstRow="1" w:lastColumn="0" w:lastRow="0" w:noHBand="0" w:noVBand="1" w:val="04A0"/>
        <w:tblBorders>
          <w:top w:val="single" w:sz="4" w:space="0" w:color="D7DDE2"/>
          <w:left w:val="single" w:sz="4" w:space="0" w:color="D7DDE2"/>
          <w:bottom w:val="single" w:sz="4" w:space="0" w:color="D7DDE2"/>
          <w:right w:val="single" w:sz="4" w:space="0" w:color="D7DDE2"/>
          <w:insideH w:val="single" w:sz="4" w:space="0" w:color="D7DDE2"/>
          <w:insideV w:val="single" w:sz="4" w:space="0" w:color="D7DDE2"/>
        </w:tblBorders>
        <w:tblInd w:w="120" w:type="dxa"/>
      </w:tblPr>
      <w:tblGrid>
        <w:gridCol w:w="1600"/>
        <w:gridCol w:w="4700"/>
        <w:gridCol w:w="3060"/>
      </w:tblGrid>
      <w:tr>
        <w:trPr>
          <w:tblHeader w:val="true"/>
        </w:trPr>
        <w:tc>
          <w:tcPr>
            <w:tcW w:type="dxa" w:w="1600"/>
            <w:shd w:fill="E8EEF5"/>
            <w:vAlign w:val="center"/>
            <w:tcMar>
              <w:top w:w="100" w:type="dxa"/>
              <w:start w:w="120" w:type="dxa"/>
              <w:bottom w:w="100" w:type="dxa"/>
              <w:end w:w="120" w:type="dxa"/>
            </w:tcMar>
          </w:tcPr>
          <w:p>
            <w:pPr>
              <w:spacing w:before="20" w:after="20" w:line="252" w:lineRule="auto"/>
              <w:jc w:val="left"/>
            </w:pPr>
            <w:r>
              <w:rPr>
                <w:rFonts w:ascii="Calibri" w:hAnsi="Calibri" w:eastAsia="Microsoft YaHei"/>
                <w:b/>
                <w:color w:val="1D2B26"/>
                <w:sz w:val="18"/>
              </w:rPr>
              <w:t>阶段</w:t>
            </w:r>
          </w:p>
        </w:tc>
        <w:tc>
          <w:tcPr>
            <w:tcW w:type="dxa" w:w="4700"/>
            <w:shd w:fill="E8EEF5"/>
            <w:vAlign w:val="center"/>
            <w:tcMar>
              <w:top w:w="100" w:type="dxa"/>
              <w:start w:w="120" w:type="dxa"/>
              <w:bottom w:w="100" w:type="dxa"/>
              <w:end w:w="120" w:type="dxa"/>
            </w:tcMar>
          </w:tcPr>
          <w:p>
            <w:pPr>
              <w:spacing w:before="20" w:after="20" w:line="252" w:lineRule="auto"/>
              <w:jc w:val="left"/>
            </w:pPr>
            <w:r>
              <w:rPr>
                <w:rFonts w:ascii="Calibri" w:hAnsi="Calibri" w:eastAsia="Microsoft YaHei"/>
                <w:b/>
                <w:color w:val="1D2B26"/>
                <w:sz w:val="18"/>
              </w:rPr>
              <w:t>范围</w:t>
            </w:r>
          </w:p>
        </w:tc>
        <w:tc>
          <w:tcPr>
            <w:tcW w:type="dxa" w:w="3060"/>
            <w:shd w:fill="E8EEF5"/>
            <w:vAlign w:val="center"/>
            <w:tcMar>
              <w:top w:w="100" w:type="dxa"/>
              <w:start w:w="120" w:type="dxa"/>
              <w:bottom w:w="100" w:type="dxa"/>
              <w:end w:w="120" w:type="dxa"/>
            </w:tcMar>
          </w:tcPr>
          <w:p>
            <w:pPr>
              <w:spacing w:before="20" w:after="20" w:line="252" w:lineRule="auto"/>
              <w:jc w:val="left"/>
            </w:pPr>
            <w:r>
              <w:rPr>
                <w:rFonts w:ascii="Calibri" w:hAnsi="Calibri" w:eastAsia="Microsoft YaHei"/>
                <w:b/>
                <w:color w:val="1D2B26"/>
                <w:sz w:val="18"/>
              </w:rPr>
              <w:t>退出条件</w:t>
            </w:r>
          </w:p>
        </w:tc>
      </w:tr>
      <w:tr>
        <w:tc>
          <w:tcPr>
            <w:tcW w:type="dxa" w:w="16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V0.2 · 当前</w:t>
            </w:r>
          </w:p>
        </w:tc>
        <w:tc>
          <w:tcPr>
            <w:tcW w:type="dxa" w:w="47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前端流程、模拟上传解析、三类项目模板、四方竞演和报告</w:t>
            </w:r>
          </w:p>
        </w:tc>
        <w:tc>
          <w:tcPr>
            <w:tcW w:type="dxa" w:w="306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完成产品评审与交互确认</w:t>
            </w:r>
          </w:p>
        </w:tc>
      </w:tr>
      <w:tr>
        <w:tc>
          <w:tcPr>
            <w:tcW w:type="dxa" w:w="16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V0.5 · MVP</w:t>
            </w:r>
          </w:p>
        </w:tc>
        <w:tc>
          <w:tcPr>
            <w:tcW w:type="dxa" w:w="47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真实文件存储/解析、规则确认、企业证据库、基础账号权限</w:t>
            </w:r>
          </w:p>
        </w:tc>
        <w:tc>
          <w:tcPr>
            <w:tcW w:type="dxa" w:w="306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5–10 个历史项目回放通过</w:t>
            </w:r>
          </w:p>
        </w:tc>
      </w:tr>
      <w:tr>
        <w:tc>
          <w:tcPr>
            <w:tcW w:type="dxa" w:w="16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V0.8 · 试点</w:t>
            </w:r>
          </w:p>
        </w:tc>
        <w:tc>
          <w:tcPr>
            <w:tcW w:type="dxa" w:w="47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任务协作、审计、规则 DSL、历史竞争画像与评估</w:t>
            </w:r>
          </w:p>
        </w:tc>
        <w:tc>
          <w:tcPr>
            <w:tcW w:type="dxa" w:w="306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真实试点项目稳定运行</w:t>
            </w:r>
          </w:p>
        </w:tc>
      </w:tr>
      <w:tr>
        <w:tc>
          <w:tcPr>
            <w:tcW w:type="dxa" w:w="16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V1.0 · 生产</w:t>
            </w:r>
          </w:p>
        </w:tc>
        <w:tc>
          <w:tcPr>
            <w:tcW w:type="dxa" w:w="47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安全合规、监控、容灾、模型评测、企业集成与运维</w:t>
            </w:r>
          </w:p>
        </w:tc>
        <w:tc>
          <w:tcPr>
            <w:tcW w:type="dxa" w:w="306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生产验收与制度落地</w:t>
            </w:r>
          </w:p>
        </w:tc>
      </w:tr>
    </w:tbl>
    <w:p>
      <w:pPr>
        <w:spacing w:after="40"/>
      </w:pPr>
    </w:p>
    <w:p>
      <w:pPr>
        <w:pStyle w:val="Heading1"/>
        <w:keepNext/>
      </w:pPr>
      <w:r>
        <w:t>14. 主要风险与对策</w:t>
      </w:r>
    </w:p>
    <w:tbl>
      <w:tblPr>
        <w:tblW w:type="dxa" w:w="9360"/>
        <w:jc w:val="left"/>
        <w:tblLayout w:type="fixed"/>
        <w:tblLook w:firstColumn="1" w:firstRow="1" w:lastColumn="0" w:lastRow="0" w:noHBand="0" w:noVBand="1" w:val="04A0"/>
        <w:tblBorders>
          <w:top w:val="single" w:sz="4" w:space="0" w:color="D7DDE2"/>
          <w:left w:val="single" w:sz="4" w:space="0" w:color="D7DDE2"/>
          <w:bottom w:val="single" w:sz="4" w:space="0" w:color="D7DDE2"/>
          <w:right w:val="single" w:sz="4" w:space="0" w:color="D7DDE2"/>
          <w:insideH w:val="single" w:sz="4" w:space="0" w:color="D7DDE2"/>
          <w:insideV w:val="single" w:sz="4" w:space="0" w:color="D7DDE2"/>
        </w:tblBorders>
        <w:tblInd w:w="120" w:type="dxa"/>
      </w:tblPr>
      <w:tblGrid>
        <w:gridCol w:w="2500"/>
        <w:gridCol w:w="2100"/>
        <w:gridCol w:w="3860"/>
        <w:gridCol w:w="900"/>
      </w:tblGrid>
      <w:tr>
        <w:trPr>
          <w:tblHeader w:val="true"/>
        </w:trPr>
        <w:tc>
          <w:tcPr>
            <w:tcW w:type="dxa" w:w="2500"/>
            <w:shd w:fill="E8EEF5"/>
            <w:vAlign w:val="center"/>
            <w:tcMar>
              <w:top w:w="100" w:type="dxa"/>
              <w:start w:w="120" w:type="dxa"/>
              <w:bottom w:w="100" w:type="dxa"/>
              <w:end w:w="120" w:type="dxa"/>
            </w:tcMar>
          </w:tcPr>
          <w:p>
            <w:pPr>
              <w:spacing w:before="20" w:after="20" w:line="252" w:lineRule="auto"/>
              <w:jc w:val="left"/>
            </w:pPr>
            <w:r>
              <w:rPr>
                <w:rFonts w:ascii="Calibri" w:hAnsi="Calibri" w:eastAsia="Microsoft YaHei"/>
                <w:b/>
                <w:color w:val="1D2B26"/>
                <w:sz w:val="18"/>
              </w:rPr>
              <w:t>风险</w:t>
            </w:r>
          </w:p>
        </w:tc>
        <w:tc>
          <w:tcPr>
            <w:tcW w:type="dxa" w:w="2100"/>
            <w:shd w:fill="E8EEF5"/>
            <w:vAlign w:val="center"/>
            <w:tcMar>
              <w:top w:w="100" w:type="dxa"/>
              <w:start w:w="120" w:type="dxa"/>
              <w:bottom w:w="100" w:type="dxa"/>
              <w:end w:w="120" w:type="dxa"/>
            </w:tcMar>
          </w:tcPr>
          <w:p>
            <w:pPr>
              <w:spacing w:before="20" w:after="20" w:line="252" w:lineRule="auto"/>
              <w:jc w:val="left"/>
            </w:pPr>
            <w:r>
              <w:rPr>
                <w:rFonts w:ascii="Calibri" w:hAnsi="Calibri" w:eastAsia="Microsoft YaHei"/>
                <w:b/>
                <w:color w:val="1D2B26"/>
                <w:sz w:val="18"/>
              </w:rPr>
              <w:t>影响</w:t>
            </w:r>
          </w:p>
        </w:tc>
        <w:tc>
          <w:tcPr>
            <w:tcW w:type="dxa" w:w="3860"/>
            <w:shd w:fill="E8EEF5"/>
            <w:vAlign w:val="center"/>
            <w:tcMar>
              <w:top w:w="100" w:type="dxa"/>
              <w:start w:w="120" w:type="dxa"/>
              <w:bottom w:w="100" w:type="dxa"/>
              <w:end w:w="120" w:type="dxa"/>
            </w:tcMar>
          </w:tcPr>
          <w:p>
            <w:pPr>
              <w:spacing w:before="20" w:after="20" w:line="252" w:lineRule="auto"/>
              <w:jc w:val="left"/>
            </w:pPr>
            <w:r>
              <w:rPr>
                <w:rFonts w:ascii="Calibri" w:hAnsi="Calibri" w:eastAsia="Microsoft YaHei"/>
                <w:b/>
                <w:color w:val="1D2B26"/>
                <w:sz w:val="18"/>
              </w:rPr>
              <w:t>控制措施</w:t>
            </w:r>
          </w:p>
        </w:tc>
        <w:tc>
          <w:tcPr>
            <w:tcW w:type="dxa" w:w="900"/>
            <w:shd w:fill="E8EEF5"/>
            <w:vAlign w:val="center"/>
            <w:tcMar>
              <w:top w:w="100" w:type="dxa"/>
              <w:start w:w="120" w:type="dxa"/>
              <w:bottom w:w="100" w:type="dxa"/>
              <w:end w:w="120" w:type="dxa"/>
            </w:tcMar>
          </w:tcPr>
          <w:p>
            <w:pPr>
              <w:spacing w:before="20" w:after="20" w:line="252" w:lineRule="auto"/>
              <w:jc w:val="center"/>
            </w:pPr>
            <w:r>
              <w:rPr>
                <w:rFonts w:ascii="Calibri" w:hAnsi="Calibri" w:eastAsia="Microsoft YaHei"/>
                <w:b/>
                <w:color w:val="1D2B26"/>
                <w:sz w:val="18"/>
              </w:rPr>
              <w:t>等级</w:t>
            </w:r>
          </w:p>
        </w:tc>
      </w:tr>
      <w:tr>
        <w:tc>
          <w:tcPr>
            <w:tcW w:type="dxa" w:w="25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招标条款抽取错误</w:t>
            </w:r>
          </w:p>
        </w:tc>
        <w:tc>
          <w:tcPr>
            <w:tcW w:type="dxa" w:w="21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误判资格或评分</w:t>
            </w:r>
          </w:p>
        </w:tc>
        <w:tc>
          <w:tcPr>
            <w:tcW w:type="dxa" w:w="386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原文定位、置信度、双模型/规则校验、人工锁定</w:t>
            </w:r>
          </w:p>
        </w:tc>
        <w:tc>
          <w:tcPr>
            <w:tcW w:type="dxa" w:w="900"/>
            <w:vAlign w:val="center"/>
            <w:tcMar>
              <w:top w:w="100" w:type="dxa"/>
              <w:start w:w="120" w:type="dxa"/>
              <w:bottom w:w="100" w:type="dxa"/>
              <w:end w:w="120" w:type="dxa"/>
            </w:tcMar>
          </w:tcPr>
          <w:p>
            <w:pPr>
              <w:spacing w:before="20" w:after="20" w:line="259" w:lineRule="auto"/>
              <w:jc w:val="center"/>
            </w:pPr>
            <w:r>
              <w:rPr>
                <w:rFonts w:ascii="Calibri" w:hAnsi="Calibri" w:eastAsia="Microsoft YaHei"/>
                <w:b/>
                <w:color w:val="9B1C1C"/>
                <w:sz w:val="18"/>
              </w:rPr>
              <w:t>高</w:t>
            </w:r>
          </w:p>
        </w:tc>
      </w:tr>
      <w:tr>
        <w:tc>
          <w:tcPr>
            <w:tcW w:type="dxa" w:w="25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扫描件和复杂表格识别失败</w:t>
            </w:r>
          </w:p>
        </w:tc>
        <w:tc>
          <w:tcPr>
            <w:tcW w:type="dxa" w:w="21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规则缺失</w:t>
            </w:r>
          </w:p>
        </w:tc>
        <w:tc>
          <w:tcPr>
            <w:tcW w:type="dxa" w:w="386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OCR 质量检测、表格专用解析、失败告警</w:t>
            </w:r>
          </w:p>
        </w:tc>
        <w:tc>
          <w:tcPr>
            <w:tcW w:type="dxa" w:w="900"/>
            <w:vAlign w:val="center"/>
            <w:tcMar>
              <w:top w:w="100" w:type="dxa"/>
              <w:start w:w="120" w:type="dxa"/>
              <w:bottom w:w="100" w:type="dxa"/>
              <w:end w:w="120" w:type="dxa"/>
            </w:tcMar>
          </w:tcPr>
          <w:p>
            <w:pPr>
              <w:spacing w:before="20" w:after="20" w:line="259" w:lineRule="auto"/>
              <w:jc w:val="center"/>
            </w:pPr>
            <w:r>
              <w:rPr>
                <w:rFonts w:ascii="Calibri" w:hAnsi="Calibri" w:eastAsia="Microsoft YaHei"/>
                <w:b/>
                <w:color w:val="9B1C1C"/>
                <w:sz w:val="18"/>
              </w:rPr>
              <w:t>高</w:t>
            </w:r>
          </w:p>
        </w:tc>
      </w:tr>
      <w:tr>
        <w:tc>
          <w:tcPr>
            <w:tcW w:type="dxa" w:w="25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公司证据过期或主体不符</w:t>
            </w:r>
          </w:p>
        </w:tc>
        <w:tc>
          <w:tcPr>
            <w:tcW w:type="dxa" w:w="21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资格不通过</w:t>
            </w:r>
          </w:p>
        </w:tc>
        <w:tc>
          <w:tcPr>
            <w:tcW w:type="dxa" w:w="386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有效期和主体校验、到期提醒、人工复核</w:t>
            </w:r>
          </w:p>
        </w:tc>
        <w:tc>
          <w:tcPr>
            <w:tcW w:type="dxa" w:w="900"/>
            <w:vAlign w:val="center"/>
            <w:tcMar>
              <w:top w:w="100" w:type="dxa"/>
              <w:start w:w="120" w:type="dxa"/>
              <w:bottom w:w="100" w:type="dxa"/>
              <w:end w:w="120" w:type="dxa"/>
            </w:tcMar>
          </w:tcPr>
          <w:p>
            <w:pPr>
              <w:spacing w:before="20" w:after="20" w:line="259" w:lineRule="auto"/>
              <w:jc w:val="center"/>
            </w:pPr>
            <w:r>
              <w:rPr>
                <w:rFonts w:ascii="Calibri" w:hAnsi="Calibri" w:eastAsia="Microsoft YaHei"/>
                <w:b/>
                <w:color w:val="9B1C1C"/>
                <w:sz w:val="18"/>
              </w:rPr>
              <w:t>高</w:t>
            </w:r>
          </w:p>
        </w:tc>
      </w:tr>
      <w:tr>
        <w:tc>
          <w:tcPr>
            <w:tcW w:type="dxa" w:w="25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概率被误解为保证</w:t>
            </w:r>
          </w:p>
        </w:tc>
        <w:tc>
          <w:tcPr>
            <w:tcW w:type="dxa" w:w="21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错误决策与合规风险</w:t>
            </w:r>
          </w:p>
        </w:tc>
        <w:tc>
          <w:tcPr>
            <w:tcW w:type="dxa" w:w="386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展示假设、区间、敏感性和免责声明</w:t>
            </w:r>
          </w:p>
        </w:tc>
        <w:tc>
          <w:tcPr>
            <w:tcW w:type="dxa" w:w="900"/>
            <w:vAlign w:val="center"/>
            <w:tcMar>
              <w:top w:w="100" w:type="dxa"/>
              <w:start w:w="120" w:type="dxa"/>
              <w:bottom w:w="100" w:type="dxa"/>
              <w:end w:w="120" w:type="dxa"/>
            </w:tcMar>
          </w:tcPr>
          <w:p>
            <w:pPr>
              <w:spacing w:before="20" w:after="20" w:line="259" w:lineRule="auto"/>
              <w:jc w:val="center"/>
            </w:pPr>
            <w:r>
              <w:rPr>
                <w:rFonts w:ascii="Calibri" w:hAnsi="Calibri" w:eastAsia="Microsoft YaHei"/>
                <w:b/>
                <w:color w:val="9B1C1C"/>
                <w:sz w:val="18"/>
              </w:rPr>
              <w:t>高</w:t>
            </w:r>
          </w:p>
        </w:tc>
      </w:tr>
      <w:tr>
        <w:tc>
          <w:tcPr>
            <w:tcW w:type="dxa" w:w="25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竞争数据不足</w:t>
            </w:r>
          </w:p>
        </w:tc>
        <w:tc>
          <w:tcPr>
            <w:tcW w:type="dxa" w:w="21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概率校准偏差</w:t>
            </w:r>
          </w:p>
        </w:tc>
        <w:tc>
          <w:tcPr>
            <w:tcW w:type="dxa" w:w="386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场景法、保守先验、历史回放和持续评估</w:t>
            </w:r>
          </w:p>
        </w:tc>
        <w:tc>
          <w:tcPr>
            <w:tcW w:type="dxa" w:w="900"/>
            <w:vAlign w:val="center"/>
            <w:tcMar>
              <w:top w:w="100" w:type="dxa"/>
              <w:start w:w="120" w:type="dxa"/>
              <w:bottom w:w="100" w:type="dxa"/>
              <w:end w:w="120" w:type="dxa"/>
            </w:tcMar>
          </w:tcPr>
          <w:p>
            <w:pPr>
              <w:spacing w:before="20" w:after="20" w:line="259" w:lineRule="auto"/>
              <w:jc w:val="center"/>
            </w:pPr>
            <w:r>
              <w:rPr>
                <w:rFonts w:ascii="Calibri" w:hAnsi="Calibri" w:eastAsia="Microsoft YaHei"/>
                <w:b/>
                <w:color w:val="7A5A00"/>
                <w:sz w:val="18"/>
              </w:rPr>
              <w:t>中</w:t>
            </w:r>
          </w:p>
        </w:tc>
      </w:tr>
      <w:tr>
        <w:tc>
          <w:tcPr>
            <w:tcW w:type="dxa" w:w="25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敏感投标文件泄露</w:t>
            </w:r>
          </w:p>
        </w:tc>
        <w:tc>
          <w:tcPr>
            <w:tcW w:type="dxa" w:w="21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重大安全风险</w:t>
            </w:r>
          </w:p>
        </w:tc>
        <w:tc>
          <w:tcPr>
            <w:tcW w:type="dxa" w:w="386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加密、隔离、审计、最小权限和删除策略</w:t>
            </w:r>
          </w:p>
        </w:tc>
        <w:tc>
          <w:tcPr>
            <w:tcW w:type="dxa" w:w="900"/>
            <w:vAlign w:val="center"/>
            <w:tcMar>
              <w:top w:w="100" w:type="dxa"/>
              <w:start w:w="120" w:type="dxa"/>
              <w:bottom w:w="100" w:type="dxa"/>
              <w:end w:w="120" w:type="dxa"/>
            </w:tcMar>
          </w:tcPr>
          <w:p>
            <w:pPr>
              <w:spacing w:before="20" w:after="20" w:line="259" w:lineRule="auto"/>
              <w:jc w:val="center"/>
            </w:pPr>
            <w:r>
              <w:rPr>
                <w:rFonts w:ascii="Calibri" w:hAnsi="Calibri" w:eastAsia="Microsoft YaHei"/>
                <w:b/>
                <w:color w:val="9B1C1C"/>
                <w:sz w:val="18"/>
              </w:rPr>
              <w:t>高</w:t>
            </w:r>
          </w:p>
        </w:tc>
      </w:tr>
    </w:tbl>
    <w:p>
      <w:pPr>
        <w:spacing w:after="40"/>
      </w:pPr>
    </w:p>
    <w:p>
      <w:pPr>
        <w:pStyle w:val="Heading1"/>
        <w:keepNext/>
      </w:pPr>
      <w:r>
        <w:t>15. MVP 验收标准</w:t>
      </w:r>
    </w:p>
    <w:p>
      <w:pPr>
        <w:pStyle w:val="ListBullet"/>
      </w:pPr>
      <w:r>
        <w:rPr>
          <w:rFonts w:ascii="Calibri" w:hAnsi="Calibri" w:eastAsia="Microsoft YaHei"/>
          <w:color w:val="1D2B26"/>
          <w:sz w:val="22"/>
        </w:rPr>
        <w:t>用户可创建项目并上传招标文件与企业材料，查看处理状态和版本。</w:t>
      </w:r>
    </w:p>
    <w:p>
      <w:pPr>
        <w:pStyle w:val="ListBullet"/>
      </w:pPr>
      <w:r>
        <w:rPr>
          <w:rFonts w:ascii="Calibri" w:hAnsi="Calibri" w:eastAsia="Microsoft YaHei"/>
          <w:color w:val="1D2B26"/>
          <w:sz w:val="22"/>
        </w:rPr>
        <w:t>系统能从约定测试集抽取资格、实质性要求、评分因素、权重、公式和限价，并定位原文。</w:t>
      </w:r>
    </w:p>
    <w:p>
      <w:pPr>
        <w:pStyle w:val="ListBullet"/>
      </w:pPr>
      <w:r>
        <w:rPr>
          <w:rFonts w:ascii="Calibri" w:hAnsi="Calibri" w:eastAsia="Microsoft YaHei"/>
          <w:color w:val="1D2B26"/>
          <w:sz w:val="22"/>
        </w:rPr>
        <w:t>用户可纠正规则并锁定版本；规则变更后自动重跑匹配和模拟。</w:t>
      </w:r>
    </w:p>
    <w:p>
      <w:pPr>
        <w:pStyle w:val="ListBullet"/>
      </w:pPr>
      <w:r>
        <w:rPr>
          <w:rFonts w:ascii="Calibri" w:hAnsi="Calibri" w:eastAsia="Microsoft YaHei"/>
          <w:color w:val="1D2B26"/>
          <w:sz w:val="22"/>
        </w:rPr>
        <w:t>系统输出逐条证据匹配、缺口、置信度和人工确认状态。</w:t>
      </w:r>
    </w:p>
    <w:p>
      <w:pPr>
        <w:pStyle w:val="ListBullet"/>
      </w:pPr>
      <w:r>
        <w:rPr>
          <w:rFonts w:ascii="Calibri" w:hAnsi="Calibri" w:eastAsia="Microsoft YaHei"/>
          <w:color w:val="1D2B26"/>
          <w:sz w:val="22"/>
        </w:rPr>
        <w:t>任何强制项未满足时，不得输出“预计可进入详细评审”。</w:t>
      </w:r>
    </w:p>
    <w:p>
      <w:pPr>
        <w:pStyle w:val="ListBullet"/>
      </w:pPr>
      <w:r>
        <w:rPr>
          <w:rFonts w:ascii="Calibri" w:hAnsi="Calibri" w:eastAsia="Microsoft YaHei"/>
          <w:color w:val="1D2B26"/>
          <w:sz w:val="22"/>
        </w:rPr>
        <w:t>报价优化只在最高限价和最低毛利率约束内搜索，并展示目标与假设。</w:t>
      </w:r>
    </w:p>
    <w:p>
      <w:pPr>
        <w:pStyle w:val="ListBullet"/>
      </w:pPr>
      <w:r>
        <w:rPr>
          <w:rFonts w:ascii="Calibri" w:hAnsi="Calibri" w:eastAsia="Microsoft YaHei"/>
          <w:color w:val="1D2B26"/>
          <w:sz w:val="22"/>
        </w:rPr>
        <w:t>报告包含规则版本、淘汰原因、分项得分、推荐报价、风险、待办和免责声明。</w:t>
      </w:r>
    </w:p>
    <w:p>
      <w:pPr>
        <w:pStyle w:val="ListBullet"/>
      </w:pPr>
      <w:r>
        <w:rPr>
          <w:rFonts w:ascii="Calibri" w:hAnsi="Calibri" w:eastAsia="Microsoft YaHei"/>
          <w:color w:val="1D2B26"/>
          <w:sz w:val="22"/>
        </w:rPr>
        <w:t>关键操作具备角色权限和审计记录；敏感文件可按项目删除。</w:t>
      </w:r>
    </w:p>
    <w:p>
      <w:pPr>
        <w:pStyle w:val="Heading1"/>
        <w:keepNext/>
      </w:pPr>
      <w:r>
        <w:t>附录 A：术语</w:t>
      </w:r>
    </w:p>
    <w:tbl>
      <w:tblPr>
        <w:tblW w:type="dxa" w:w="9360"/>
        <w:jc w:val="left"/>
        <w:tblLayout w:type="fixed"/>
        <w:tblLook w:firstColumn="1" w:firstRow="1" w:lastColumn="0" w:lastRow="0" w:noHBand="0" w:noVBand="1" w:val="04A0"/>
        <w:tblBorders>
          <w:top w:val="single" w:sz="4" w:space="0" w:color="D7DDE2"/>
          <w:left w:val="single" w:sz="4" w:space="0" w:color="D7DDE2"/>
          <w:bottom w:val="single" w:sz="4" w:space="0" w:color="D7DDE2"/>
          <w:right w:val="single" w:sz="4" w:space="0" w:color="D7DDE2"/>
          <w:insideH w:val="single" w:sz="4" w:space="0" w:color="D7DDE2"/>
          <w:insideV w:val="single" w:sz="4" w:space="0" w:color="D7DDE2"/>
        </w:tblBorders>
        <w:tblInd w:w="120" w:type="dxa"/>
      </w:tblPr>
      <w:tblGrid>
        <w:gridCol w:w="1900"/>
        <w:gridCol w:w="7460"/>
      </w:tblGrid>
      <w:tr>
        <w:trPr>
          <w:tblHeader w:val="true"/>
        </w:trPr>
        <w:tc>
          <w:tcPr>
            <w:tcW w:type="dxa" w:w="1900"/>
            <w:shd w:fill="E8EEF5"/>
            <w:vAlign w:val="center"/>
            <w:tcMar>
              <w:top w:w="100" w:type="dxa"/>
              <w:start w:w="120" w:type="dxa"/>
              <w:bottom w:w="100" w:type="dxa"/>
              <w:end w:w="120" w:type="dxa"/>
            </w:tcMar>
          </w:tcPr>
          <w:p>
            <w:pPr>
              <w:spacing w:before="20" w:after="20" w:line="252" w:lineRule="auto"/>
              <w:jc w:val="left"/>
            </w:pPr>
            <w:r>
              <w:rPr>
                <w:rFonts w:ascii="Calibri" w:hAnsi="Calibri" w:eastAsia="Microsoft YaHei"/>
                <w:b/>
                <w:color w:val="1D2B26"/>
                <w:sz w:val="18"/>
              </w:rPr>
              <w:t>术语</w:t>
            </w:r>
          </w:p>
        </w:tc>
        <w:tc>
          <w:tcPr>
            <w:tcW w:type="dxa" w:w="7460"/>
            <w:shd w:fill="E8EEF5"/>
            <w:vAlign w:val="center"/>
            <w:tcMar>
              <w:top w:w="100" w:type="dxa"/>
              <w:start w:w="120" w:type="dxa"/>
              <w:bottom w:w="100" w:type="dxa"/>
              <w:end w:w="120" w:type="dxa"/>
            </w:tcMar>
          </w:tcPr>
          <w:p>
            <w:pPr>
              <w:spacing w:before="20" w:after="20" w:line="252" w:lineRule="auto"/>
              <w:jc w:val="left"/>
            </w:pPr>
            <w:r>
              <w:rPr>
                <w:rFonts w:ascii="Calibri" w:hAnsi="Calibri" w:eastAsia="Microsoft YaHei"/>
                <w:b/>
                <w:color w:val="1D2B26"/>
                <w:sz w:val="18"/>
              </w:rPr>
              <w:t>定义</w:t>
            </w:r>
          </w:p>
        </w:tc>
      </w:tr>
      <w:tr>
        <w:tc>
          <w:tcPr>
            <w:tcW w:type="dxa" w:w="19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资格审查</w:t>
            </w:r>
          </w:p>
        </w:tc>
        <w:tc>
          <w:tcPr>
            <w:tcW w:type="dxa" w:w="746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判断投标人主体、信用、资质和其他准入条件是否符合。通常为通过制。</w:t>
            </w:r>
          </w:p>
        </w:tc>
      </w:tr>
      <w:tr>
        <w:tc>
          <w:tcPr>
            <w:tcW w:type="dxa" w:w="19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符合性审查</w:t>
            </w:r>
          </w:p>
        </w:tc>
        <w:tc>
          <w:tcPr>
            <w:tcW w:type="dxa" w:w="746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判断报价、签章、有效期、★ 条款等是否实质响应。通常为通过制。</w:t>
            </w:r>
          </w:p>
        </w:tc>
      </w:tr>
      <w:tr>
        <w:tc>
          <w:tcPr>
            <w:tcW w:type="dxa" w:w="19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详细评审</w:t>
            </w:r>
          </w:p>
        </w:tc>
        <w:tc>
          <w:tcPr>
            <w:tcW w:type="dxa" w:w="746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只对有效投标按项目公式进行价格、技术、商务、服务等评审。</w:t>
            </w:r>
          </w:p>
        </w:tc>
      </w:tr>
      <w:tr>
        <w:tc>
          <w:tcPr>
            <w:tcW w:type="dxa" w:w="19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证据匹配</w:t>
            </w:r>
          </w:p>
        </w:tc>
        <w:tc>
          <w:tcPr>
            <w:tcW w:type="dxa" w:w="746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把招标要求与企业可验证材料建立可追溯关系。</w:t>
            </w:r>
          </w:p>
        </w:tc>
      </w:tr>
      <w:tr>
        <w:tc>
          <w:tcPr>
            <w:tcW w:type="dxa" w:w="19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规则版本</w:t>
            </w:r>
          </w:p>
        </w:tc>
        <w:tc>
          <w:tcPr>
            <w:tcW w:type="dxa" w:w="746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经解析和人工确认后锁定的一组项目评标规则。</w:t>
            </w:r>
          </w:p>
        </w:tc>
      </w:tr>
      <w:tr>
        <w:tc>
          <w:tcPr>
            <w:tcW w:type="dxa" w:w="190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期望利润</w:t>
            </w:r>
          </w:p>
        </w:tc>
        <w:tc>
          <w:tcPr>
            <w:tcW w:type="dxa" w:w="7460"/>
            <w:vAlign w:val="center"/>
            <w:tcMar>
              <w:top w:w="100" w:type="dxa"/>
              <w:start w:w="120" w:type="dxa"/>
              <w:bottom w:w="100" w:type="dxa"/>
              <w:end w:w="120" w:type="dxa"/>
            </w:tcMar>
          </w:tcPr>
          <w:p>
            <w:pPr>
              <w:spacing w:before="20" w:after="20" w:line="259" w:lineRule="auto"/>
              <w:jc w:val="left"/>
            </w:pPr>
            <w:r>
              <w:rPr>
                <w:rFonts w:ascii="Calibri" w:hAnsi="Calibri" w:eastAsia="Microsoft YaHei"/>
                <w:b w:val="0"/>
                <w:color w:val="1D2B26"/>
                <w:sz w:val="18"/>
              </w:rPr>
              <w:t>模拟中标概率 × 中标后的预计利润。</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after="0"/>
    </w:pPr>
    <w:r>
      <w:rPr>
        <w:rFonts w:ascii="Calibri" w:hAnsi="Calibri" w:eastAsia="Microsoft YaHei"/>
        <w:color w:val="6E7772"/>
        <w:sz w:val="16"/>
      </w:rPr>
      <w:t>内部评审稿 · 2026-08-11</w:t>
    </w:r>
    <w:r>
      <w:tab/>
    </w:r>
    <w:r>
      <w:rPr>
        <w:rFonts w:ascii="Calibri" w:hAnsi="Calibri" w:eastAsia="Microsoft YaHei"/>
        <w:color w:val="6E7772"/>
        <w:sz w:val="16"/>
      </w:rPr>
      <w:t xml:space="preserve">第 </w:t>
    </w:r>
    <w:r>
      <w:fldChar w:fldCharType="begin"/>
      <w:instrText xml:space="preserve">PAGE</w:instrText>
      <w:fldChar w:fldCharType="separate"/>
      <w:t>1</w:t>
      <w:fldChar w:fldCharType="end"/>
    </w:r>
    <w:r>
      <w:rPr>
        <w:rFonts w:ascii="Calibri" w:hAnsi="Calibri" w:eastAsia="Microsoft YaHei"/>
        <w:color w:val="6E7772"/>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color w:val="6E7772"/>
        <w:sz w:val="17"/>
      </w:rPr>
      <w:t>标策 AI 产品需求文档  |  BC-AI-PRD-001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icrosoft YaHei"/>
      <w:b w:val="0"/>
      <w:color w:val="1D2B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52"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52"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52" w:lineRule="auto"/>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eastAsia="Microsoft YaHei"/>
      <w:b w:val="0"/>
      <w:color w:val="1D2B26"/>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eastAsia="Microsoft YaHei"/>
      <w:b w:val="0"/>
      <w:color w:val="1D2B26"/>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Kicker">
    <w:name w:val="Doc Kicker"/>
    <w:pPr>
      <w:spacing w:before="0" w:after="100" w:line="264" w:lineRule="auto"/>
    </w:pPr>
    <w:rPr>
      <w:rFonts w:ascii="Calibri" w:hAnsi="Calibri" w:eastAsia="Microsoft YaHei"/>
      <w:b/>
      <w:color w:val="2E74B5"/>
      <w:sz w:val="18"/>
    </w:rPr>
  </w:style>
  <w:style w:type="paragraph" w:customStyle="1" w:styleId="DocTitle">
    <w:name w:val="Doc Title"/>
    <w:pPr>
      <w:spacing w:before="0" w:after="100" w:line="264" w:lineRule="auto"/>
    </w:pPr>
    <w:rPr>
      <w:rFonts w:ascii="Calibri" w:hAnsi="Calibri" w:eastAsia="Microsoft YaHei"/>
      <w:b/>
      <w:color w:val="1D2B26"/>
      <w:sz w:val="50"/>
    </w:rPr>
  </w:style>
  <w:style w:type="paragraph" w:customStyle="1" w:styleId="DocSubtitle">
    <w:name w:val="Doc Subtitle"/>
    <w:pPr>
      <w:spacing w:before="0" w:after="100" w:line="264" w:lineRule="auto"/>
    </w:pPr>
    <w:rPr>
      <w:rFonts w:ascii="Calibri" w:hAnsi="Calibri" w:eastAsia="Microsoft YaHei"/>
      <w:b w:val="0"/>
      <w:color w:val="6E7772"/>
      <w:sz w:val="26"/>
    </w:rPr>
  </w:style>
  <w:style w:type="paragraph" w:customStyle="1" w:styleId="Lead">
    <w:name w:val="Lead"/>
    <w:pPr>
      <w:spacing w:before="0" w:after="100" w:line="264" w:lineRule="auto"/>
    </w:pPr>
    <w:rPr>
      <w:rFonts w:ascii="Calibri" w:hAnsi="Calibri" w:eastAsia="Microsoft YaHei"/>
      <w:b/>
      <w:color w:val="1D2B26"/>
      <w:sz w:val="24"/>
    </w:rPr>
  </w:style>
  <w:style w:type="paragraph" w:customStyle="1" w:styleId="SmallNote">
    <w:name w:val="Small Note"/>
    <w:pPr>
      <w:spacing w:before="0" w:after="100" w:line="264" w:lineRule="auto"/>
    </w:pPr>
    <w:rPr>
      <w:rFonts w:ascii="Calibri" w:hAnsi="Calibri" w:eastAsia="Microsoft YaHei"/>
      <w:b w:val="0"/>
      <w:color w:val="6E7772"/>
      <w:sz w:val="18"/>
    </w:rPr>
  </w:style>
  <w:style w:type="paragraph" w:customStyle="1" w:styleId="TableText">
    <w:name w:val="Table Text"/>
    <w:pPr>
      <w:spacing w:before="0" w:after="100" w:line="264" w:lineRule="auto"/>
    </w:pPr>
    <w:rPr>
      <w:rFonts w:ascii="Calibri" w:hAnsi="Calibri" w:eastAsia="Microsoft YaHei"/>
      <w:b w:val="0"/>
      <w:color w:val="1D2B26"/>
      <w:sz w:val="18"/>
    </w:rPr>
  </w:style>
  <w:style w:type="paragraph" w:customStyle="1" w:styleId="TableHeader">
    <w:name w:val="Table Header"/>
    <w:pPr>
      <w:spacing w:before="0" w:after="100" w:line="264" w:lineRule="auto"/>
    </w:pPr>
    <w:rPr>
      <w:rFonts w:ascii="Calibri" w:hAnsi="Calibri" w:eastAsia="Microsoft YaHei"/>
      <w:b/>
      <w:color w:val="1D2B26"/>
      <w:sz w:val="18"/>
    </w:rPr>
  </w:style>
  <w:style w:type="paragraph" w:customStyle="1" w:styleId="CodeBlock">
    <w:name w:val="Code Block"/>
    <w:pPr>
      <w:spacing w:before="0" w:after="100" w:line="264" w:lineRule="auto"/>
    </w:pPr>
    <w:rPr>
      <w:rFonts w:ascii="Consolas" w:hAnsi="Consolas" w:eastAsia="Microsoft YaHei"/>
      <w:b w:val="0"/>
      <w:color w:val="1F4D7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标策 AI 产品需求文档</dc:title>
  <dc:subject>标策 AI 多智能体投标决策产品文档</dc:subject>
  <dc:creator>标策 AI 项目组</dc:creator>
  <cp:keywords>投标, 评标, 多智能体, 招标文件解析, 报价优化</cp:keywords>
  <dc:description>基于 2026-08-11 前端 Demo 生成的内部评审文档</dc:description>
  <cp:lastModifiedBy/>
  <cp:revision>1</cp:revision>
  <dcterms:created xsi:type="dcterms:W3CDTF">2013-12-23T23:15:00Z</dcterms:created>
  <dcterms:modified xsi:type="dcterms:W3CDTF">2013-12-23T23:15:00Z</dcterms:modified>
  <cp:category/>
</cp:coreProperties>
</file>