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CAMS Q14 — ストラクチャリングとSAR提出</w:t>
      </w:r>
    </w:p>
    <w:p>
      <w:r>
        <w:t>Domain 1: ML/TF Risks and Methods | タグ: ml-basics, sar, us-law</w:t>
      </w:r>
    </w:p>
    <w:p>
      <w:r>
        <w:t>━━━━━━━━━━━━━━━━━━━━━━━━━━━━━━━━━━━━━━━━━━━━━━━━━━</w:t>
      </w:r>
    </w:p>
    <w:p>
      <w:pPr>
        <w:pStyle w:val="Heading2"/>
      </w:pPr>
      <w:r>
        <w:t>問題</w:t>
      </w:r>
    </w:p>
    <w:p>
      <w:r>
        <w:t>ある顧客が3週間にわたり、同一銀行の複数支店で9,200〜9,850米ドルの現金預入を14回実施した。単一取引はいずれも10,000米ドルのCTR閾値を超えない。最も正確な性格付けと規制対応はどれか。</w:t>
      </w:r>
    </w:p>
    <w:p/>
    <w:p>
      <w:r>
        <w:t>A. 各取引がCTR閾値未満のため報告不要</w:t>
      </w:r>
    </w:p>
    <w:p>
      <w:r>
        <w:t>B. 支店ごとに日次合計を集計しCTRのみ提出</w:t>
      </w:r>
    </w:p>
    <w:p>
      <w:r>
        <w:t>C. SARの代わりに通貨・有価証券報告書（CMIR）を提出</w:t>
      </w:r>
    </w:p>
    <w:p>
      <w:r>
        <w:t>D. このパターンは31 USC §5324のストラクチャリングに該当し、CTR閾値に関わらずSAR提出が必要</w:t>
      </w:r>
    </w:p>
    <w:p>
      <w:r>
        <w:t>━━━━━━━━━━━━━━━━━━━━━━━━━━━━━━━━━━━━━━━━━━━━━━━━━━</w:t>
      </w:r>
    </w:p>
    <w:p>
      <w:pPr>
        <w:pStyle w:val="Heading2"/>
      </w:pPr>
      <w:r>
        <w:t>正解: D</w:t>
      </w:r>
    </w:p>
    <w:p>
      <w:pPr>
        <w:pStyle w:val="Heading2"/>
      </w:pPr>
      <w:r>
        <w:t>解説</w:t>
      </w:r>
    </w:p>
    <w:p>
      <w:r>
        <w:t>ストラクチャリング（CTR閾値10,000米ドル回避のため取引を意図的に分割する行為）は31 USC §5324により、原資金の違法性を問わずそれ自体が連邦犯罪である。銀行はCTRが発動しなくともストラクチャリングが疑われる場合SAR(FinCEN Form 111)を提出しなければならない。</w:t>
      </w:r>
    </w:p>
    <w:p>
      <w:pPr>
        <w:pStyle w:val="Heading2"/>
      </w:pPr>
      <w:r>
        <w:t>English Version</w:t>
      </w:r>
    </w:p>
    <w:p>
      <w:r>
        <w:t>Over a three-week period, a customer makes 14 cash deposits ranging from USD 9,200 to USD 9,850 at multiple branches of the same bank. No single deposit exceeds the USD 10,000 CTR threshold. Which characterization and regulatory response is MOST accurate?</w:t>
      </w:r>
    </w:p>
    <w:p>
      <w:r>
        <w:t>━━━━━━━━━━━━━━━━━━━━━━━━━━━━━━━━━━━━━━━━━━━━━━━━━━</w:t>
      </w:r>
    </w:p>
    <w:p>
      <w:pPr>
        <w:pStyle w:val="Heading2"/>
      </w:pPr>
      <w:r>
        <w:t>📚 Q14から広がった関連知識</w:t>
      </w:r>
    </w:p>
    <w:p>
      <w:pPr>
        <w:pStyle w:val="Heading3"/>
      </w:pPr>
      <w:r>
        <w:t>ストラクチャリング学習の流れ（Q3→Q10→Q14）</w:t>
      </w:r>
    </w:p>
    <w:tbl>
      <w:tblPr>
        <w:tblStyle w:val="TableGrid"/>
        <w:tblW w:type="auto" w:w="0"/>
        <w:tblLook w:firstColumn="1" w:firstRow="1" w:lastColumn="0" w:lastRow="0" w:noHBand="0" w:noVBand="1" w:val="04A0"/>
      </w:tblPr>
      <w:tblGrid>
        <w:gridCol w:w="4320"/>
        <w:gridCol w:w="4320"/>
      </w:tblGrid>
      <w:tr>
        <w:tc>
          <w:tcPr>
            <w:tcW w:type="dxa" w:w="4320"/>
          </w:tcPr>
          <w:p>
            <w:r>
              <w:t>Q</w:t>
            </w:r>
          </w:p>
        </w:tc>
        <w:tc>
          <w:tcPr>
            <w:tcW w:type="dxa" w:w="4320"/>
          </w:tcPr>
          <w:p>
            <w:r>
              <w:t>学んだこと</w:t>
            </w:r>
          </w:p>
        </w:tc>
      </w:tr>
      <w:tr>
        <w:tc>
          <w:tcPr>
            <w:tcW w:type="dxa" w:w="4320"/>
          </w:tcPr>
          <w:p>
            <w:r>
              <w:t>Q3</w:t>
            </w:r>
          </w:p>
        </w:tc>
        <w:tc>
          <w:tcPr>
            <w:tcW w:type="dxa" w:w="4320"/>
          </w:tcPr>
          <w:p>
            <w:r>
              <w:t>ストラクチャリングの定義（プレースメントの手法）</w:t>
            </w:r>
          </w:p>
        </w:tc>
      </w:tr>
      <w:tr>
        <w:tc>
          <w:tcPr>
            <w:tcW w:type="dxa" w:w="4320"/>
          </w:tcPr>
          <w:p>
            <w:r>
              <w:t>Q10</w:t>
            </w:r>
          </w:p>
        </w:tc>
        <w:tc>
          <w:tcPr>
            <w:tcW w:type="dxa" w:w="4320"/>
          </w:tcPr>
          <w:p>
            <w:r>
              <w:t>カジノでのストラクチャリング（$2,900 × 2回）</w:t>
            </w:r>
          </w:p>
        </w:tc>
      </w:tr>
      <w:tr>
        <w:tc>
          <w:tcPr>
            <w:tcW w:type="dxa" w:w="4320"/>
          </w:tcPr>
          <w:p>
            <w:r>
              <w:t>Q14</w:t>
            </w:r>
          </w:p>
        </w:tc>
        <w:tc>
          <w:tcPr>
            <w:tcW w:type="dxa" w:w="4320"/>
          </w:tcPr>
          <w:p>
            <w:r>
              <w:t>銀行でのストラクチャリング（$9,200〜$9,850 × 14回）+ SAR提出が必要</w:t>
            </w:r>
          </w:p>
        </w:tc>
      </w:tr>
    </w:tbl>
    <w:p/>
    <w:p>
      <w:r>
        <w:t>Q14で新しく学んだこと:</w:t>
      </w:r>
    </w:p>
    <w:p>
      <w:r>
        <w:t xml:space="preserve">  Q3/Q10: ストラクチャリングとは？ → 閾値回避の分割行為</w:t>
      </w:r>
    </w:p>
    <w:p>
      <w:r>
        <w:t xml:space="preserve">  Q14:    見つけたらどうする？ → SAR提出が必要！</w:t>
      </w:r>
    </w:p>
    <w:p>
      <w:r>
        <w:t xml:space="preserve">  → 「CTRが出ないから何もしなくていい」は大間違い</w:t>
      </w:r>
    </w:p>
    <w:p/>
    <w:p>
      <w:pPr>
        <w:pStyle w:val="Heading3"/>
      </w:pPr>
      <w:r>
        <w:t>他の選択肢が間違いな理由</w:t>
      </w:r>
    </w:p>
    <w:tbl>
      <w:tblPr>
        <w:tblStyle w:val="TableGrid"/>
        <w:tblW w:type="auto" w:w="0"/>
        <w:tblLook w:firstColumn="1" w:firstRow="1" w:lastColumn="0" w:lastRow="0" w:noHBand="0" w:noVBand="1" w:val="04A0"/>
      </w:tblPr>
      <w:tblGrid>
        <w:gridCol w:w="4320"/>
        <w:gridCol w:w="4320"/>
      </w:tblGrid>
      <w:tr>
        <w:tc>
          <w:tcPr>
            <w:tcW w:type="dxa" w:w="4320"/>
          </w:tcPr>
          <w:p>
            <w:r>
              <w:t>選択肢</w:t>
            </w:r>
          </w:p>
        </w:tc>
        <w:tc>
          <w:tcPr>
            <w:tcW w:type="dxa" w:w="4320"/>
          </w:tcPr>
          <w:p>
            <w:r>
              <w:t>なぜ間違い</w:t>
            </w:r>
          </w:p>
        </w:tc>
      </w:tr>
      <w:tr>
        <w:tc>
          <w:tcPr>
            <w:tcW w:type="dxa" w:w="4320"/>
          </w:tcPr>
          <w:p>
            <w:r>
              <w:t>A. 報告不要</w:t>
            </w:r>
          </w:p>
        </w:tc>
        <w:tc>
          <w:tcPr>
            <w:tcW w:type="dxa" w:w="4320"/>
          </w:tcPr>
          <w:p>
            <w:r>
              <w:t>CTR不要でもSARは必要。ストラクチャリング自体が犯罪</w:t>
            </w:r>
          </w:p>
        </w:tc>
      </w:tr>
      <w:tr>
        <w:tc>
          <w:tcPr>
            <w:tcW w:type="dxa" w:w="4320"/>
          </w:tcPr>
          <w:p>
            <w:r>
              <w:t>B. CTRのみ提出</w:t>
            </w:r>
          </w:p>
        </w:tc>
        <w:tc>
          <w:tcPr>
            <w:tcW w:type="dxa" w:w="4320"/>
          </w:tcPr>
          <w:p>
            <w:r>
              <w:t>CTRだけでは不十分。SARが必要</w:t>
            </w:r>
          </w:p>
        </w:tc>
      </w:tr>
      <w:tr>
        <w:tc>
          <w:tcPr>
            <w:tcW w:type="dxa" w:w="4320"/>
          </w:tcPr>
          <w:p>
            <w:r>
              <w:t>C. CMIRを提出</w:t>
            </w:r>
          </w:p>
        </w:tc>
        <w:tc>
          <w:tcPr>
            <w:tcW w:type="dxa" w:w="4320"/>
          </w:tcPr>
          <w:p>
            <w:r>
              <w:t>CMIRは現金の国境越えの報告。銀行窓口の話ではない</w:t>
            </w:r>
          </w:p>
        </w:tc>
      </w:tr>
    </w:tbl>
    <w:p/>
    <w:p>
      <w:pPr>
        <w:pStyle w:val="Heading3"/>
      </w:pPr>
      <w:r>
        <w:t>重要：CTRとSARは別物</w:t>
      </w:r>
    </w:p>
    <w:p>
      <w:r>
        <w:t>CTR = 金額で自動的に出す（$10,000超）</w:t>
      </w:r>
    </w:p>
    <w:p>
      <w:r>
        <w:t>SAR = 怪しかったら判断して出す（$5,000以上）</w:t>
      </w:r>
    </w:p>
    <w:p/>
    <w:p>
      <w:r>
        <w:t>この問題:</w:t>
      </w:r>
    </w:p>
    <w:p>
      <w:r>
        <w:t xml:space="preserve">  CTR → 出ない（各取引$10,000未満だから）</w:t>
      </w:r>
    </w:p>
    <w:p>
      <w:r>
        <w:t xml:space="preserve">  SAR → 出す！（ストラクチャリングが疑われるから）</w:t>
      </w:r>
    </w:p>
    <w:p/>
    <w:p>
      <w:r>
        <w:t>→ 「CTRが出ないから安心」は大間違い。SARは別の判断基準で出す。</w:t>
      </w:r>
    </w:p>
    <w:p/>
    <w:p>
      <w:pPr>
        <w:pStyle w:val="Heading3"/>
      </w:pPr>
      <w:r>
        <w:t>合算ルール（31 CFR §1010.313）</w:t>
      </w:r>
    </w:p>
    <w:p>
      <w:r>
        <w:t>同じ日に同じ顧客が複数の現金取引をした場合:</w:t>
      </w:r>
    </w:p>
    <w:p>
      <w:r>
        <w:t xml:space="preserve">  → 合算して$10,000を超えたらCTRも出す</w:t>
      </w:r>
    </w:p>
    <w:p>
      <w:r>
        <w:t xml:space="preserve">  → 例: 午前$5,000 + 午後$6,000 = $11,000 → CTR必要</w:t>
      </w:r>
    </w:p>
    <w:p>
      <w:r>
        <w:t xml:space="preserve">  → 分割しても同日なら合算される</w:t>
      </w:r>
    </w:p>
    <w:p/>
    <w:p>
      <w:pPr>
        <w:pStyle w:val="Heading3"/>
      </w:pPr>
      <w:r>
        <w:t>米国の3つの報告制度：CTR vs SAR vs CMIR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CTR</w:t>
            </w:r>
          </w:p>
        </w:tc>
        <w:tc>
          <w:tcPr>
            <w:tcW w:type="dxa" w:w="2160"/>
          </w:tcPr>
          <w:p>
            <w:r>
              <w:t>SAR</w:t>
            </w:r>
          </w:p>
        </w:tc>
        <w:tc>
          <w:tcPr>
            <w:tcW w:type="dxa" w:w="2160"/>
          </w:tcPr>
          <w:p>
            <w:r>
              <w:t>CMIR</w:t>
            </w:r>
          </w:p>
        </w:tc>
      </w:tr>
      <w:tr>
        <w:tc>
          <w:tcPr>
            <w:tcW w:type="dxa" w:w="2160"/>
          </w:tcPr>
          <w:p>
            <w:r>
              <w:t>正式名</w:t>
            </w:r>
          </w:p>
        </w:tc>
        <w:tc>
          <w:tcPr>
            <w:tcW w:type="dxa" w:w="2160"/>
          </w:tcPr>
          <w:p>
            <w:r>
              <w:t>Currency Transaction Report</w:t>
            </w:r>
          </w:p>
        </w:tc>
        <w:tc>
          <w:tcPr>
            <w:tcW w:type="dxa" w:w="2160"/>
          </w:tcPr>
          <w:p>
            <w:r>
              <w:t>Suspicious Activity Report</w:t>
            </w:r>
          </w:p>
        </w:tc>
        <w:tc>
          <w:tcPr>
            <w:tcW w:type="dxa" w:w="2160"/>
          </w:tcPr>
          <w:p>
            <w:r>
              <w:t>Currency and Monetary Instrument Report</w:t>
            </w:r>
          </w:p>
        </w:tc>
      </w:tr>
      <w:tr>
        <w:tc>
          <w:tcPr>
            <w:tcW w:type="dxa" w:w="2160"/>
          </w:tcPr>
          <w:p>
            <w:r>
              <w:t>何を報告</w:t>
            </w:r>
          </w:p>
        </w:tc>
        <w:tc>
          <w:tcPr>
            <w:tcW w:type="dxa" w:w="2160"/>
          </w:tcPr>
          <w:p>
            <w:r>
              <w:t>大口現金取引</w:t>
            </w:r>
          </w:p>
        </w:tc>
        <w:tc>
          <w:tcPr>
            <w:tcW w:type="dxa" w:w="2160"/>
          </w:tcPr>
          <w:p>
            <w:r>
              <w:t>怪しい取引</w:t>
            </w:r>
          </w:p>
        </w:tc>
        <w:tc>
          <w:tcPr>
            <w:tcW w:type="dxa" w:w="2160"/>
          </w:tcPr>
          <w:p>
            <w:r>
              <w:t>現金の国境越え</w:t>
            </w:r>
          </w:p>
        </w:tc>
      </w:tr>
      <w:tr>
        <w:tc>
          <w:tcPr>
            <w:tcW w:type="dxa" w:w="2160"/>
          </w:tcPr>
          <w:p>
            <w:r>
              <w:t>閾値</w:t>
            </w:r>
          </w:p>
        </w:tc>
        <w:tc>
          <w:tcPr>
            <w:tcW w:type="dxa" w:w="2160"/>
          </w:tcPr>
          <w:p>
            <w:r>
              <w:t>$10,000超</w:t>
            </w:r>
          </w:p>
        </w:tc>
        <w:tc>
          <w:tcPr>
            <w:tcW w:type="dxa" w:w="2160"/>
          </w:tcPr>
          <w:p>
            <w:r>
              <w:t>$5,000以上</w:t>
            </w:r>
          </w:p>
        </w:tc>
        <w:tc>
          <w:tcPr>
            <w:tcW w:type="dxa" w:w="2160"/>
          </w:tcPr>
          <w:p>
            <w:r>
              <w:t>$10,000超</w:t>
            </w:r>
          </w:p>
        </w:tc>
      </w:tr>
      <w:tr>
        <w:tc>
          <w:tcPr>
            <w:tcW w:type="dxa" w:w="2160"/>
          </w:tcPr>
          <w:p>
            <w:r>
              <w:t>誰が出す</w:t>
            </w:r>
          </w:p>
        </w:tc>
        <w:tc>
          <w:tcPr>
            <w:tcW w:type="dxa" w:w="2160"/>
          </w:tcPr>
          <w:p>
            <w:r>
              <w:t>銀行</w:t>
            </w:r>
          </w:p>
        </w:tc>
        <w:tc>
          <w:tcPr>
            <w:tcW w:type="dxa" w:w="2160"/>
          </w:tcPr>
          <w:p>
            <w:r>
              <w:t>銀行</w:t>
            </w:r>
          </w:p>
        </w:tc>
        <w:tc>
          <w:tcPr>
            <w:tcW w:type="dxa" w:w="2160"/>
          </w:tcPr>
          <w:p>
            <w:r>
              <w:t>旅行者本人</w:t>
            </w:r>
          </w:p>
        </w:tc>
      </w:tr>
      <w:tr>
        <w:tc>
          <w:tcPr>
            <w:tcW w:type="dxa" w:w="2160"/>
          </w:tcPr>
          <w:p>
            <w:r>
              <w:t>場所</w:t>
            </w:r>
          </w:p>
        </w:tc>
        <w:tc>
          <w:tcPr>
            <w:tcW w:type="dxa" w:w="2160"/>
          </w:tcPr>
          <w:p>
            <w:r>
              <w:t>銀行の窓口</w:t>
            </w:r>
          </w:p>
        </w:tc>
        <w:tc>
          <w:tcPr>
            <w:tcW w:type="dxa" w:w="2160"/>
          </w:tcPr>
          <w:p>
            <w:r>
              <w:t>銀行内部</w:t>
            </w:r>
          </w:p>
        </w:tc>
        <w:tc>
          <w:tcPr>
            <w:tcW w:type="dxa" w:w="2160"/>
          </w:tcPr>
          <w:p>
            <w:r>
              <w:t>空港・国境</w:t>
            </w:r>
          </w:p>
        </w:tc>
      </w:tr>
    </w:tbl>
    <w:p/>
    <w:p>
      <w:r>
        <w:t>覚え方:</w:t>
      </w:r>
    </w:p>
    <w:p>
      <w:r>
        <w:t xml:space="preserve">  CTR = 銀行で大口現金 → 銀行が出す</w:t>
      </w:r>
    </w:p>
    <w:p>
      <w:r>
        <w:t xml:space="preserve">  SAR = 怪しい取引 → 銀行が出す</w:t>
      </w:r>
    </w:p>
    <w:p>
      <w:r>
        <w:t xml:space="preserve">  CMIR = 国境で大口現金 → 旅行者が出す</w:t>
      </w:r>
    </w:p>
    <w:p>
      <w:r>
        <w:t xml:space="preserve">  → CMIRだけ「国境」で「本人」が出す = 他と全然違う</w:t>
      </w:r>
    </w:p>
    <w:p/>
    <w:p>
      <w:pPr>
        <w:pStyle w:val="Heading3"/>
      </w:pPr>
      <w:r>
        <w:t>略語の意味</w:t>
      </w:r>
    </w:p>
    <w:tbl>
      <w:tblPr>
        <w:tblStyle w:val="TableGrid"/>
        <w:tblW w:type="auto" w:w="0"/>
        <w:tblLook w:firstColumn="1" w:firstRow="1" w:lastColumn="0" w:lastRow="0" w:noHBand="0" w:noVBand="1" w:val="04A0"/>
      </w:tblPr>
      <w:tblGrid>
        <w:gridCol w:w="4320"/>
        <w:gridCol w:w="4320"/>
      </w:tblGrid>
      <w:tr>
        <w:tc>
          <w:tcPr>
            <w:tcW w:type="dxa" w:w="4320"/>
          </w:tcPr>
          <w:p>
            <w:r>
              <w:t>略語</w:t>
            </w:r>
          </w:p>
        </w:tc>
        <w:tc>
          <w:tcPr>
            <w:tcW w:type="dxa" w:w="4320"/>
          </w:tcPr>
          <w:p>
            <w:r>
              <w:t>意味</w:t>
            </w:r>
          </w:p>
        </w:tc>
      </w:tr>
      <w:tr>
        <w:tc>
          <w:tcPr>
            <w:tcW w:type="dxa" w:w="4320"/>
          </w:tcPr>
          <w:p>
            <w:r>
              <w:t>CTR (シー・ティー・アール)</w:t>
            </w:r>
          </w:p>
        </w:tc>
        <w:tc>
          <w:tcPr>
            <w:tcW w:type="dxa" w:w="4320"/>
          </w:tcPr>
          <w:p>
            <w:r>
              <w:t>Currency Transaction Report = 通貨取引報告書</w:t>
            </w:r>
          </w:p>
        </w:tc>
      </w:tr>
      <w:tr>
        <w:tc>
          <w:tcPr>
            <w:tcW w:type="dxa" w:w="4320"/>
          </w:tcPr>
          <w:p>
            <w:r>
              <w:t>SAR (エス・エー・アール)</w:t>
            </w:r>
          </w:p>
        </w:tc>
        <w:tc>
          <w:tcPr>
            <w:tcW w:type="dxa" w:w="4320"/>
          </w:tcPr>
          <w:p>
            <w:r>
              <w:t>Suspicious Activity Report = 疑わしい活動報告</w:t>
            </w:r>
          </w:p>
        </w:tc>
      </w:tr>
      <w:tr>
        <w:tc>
          <w:tcPr>
            <w:tcW w:type="dxa" w:w="4320"/>
          </w:tcPr>
          <w:p>
            <w:r>
              <w:t>STR (エス・ティー・アール)</w:t>
            </w:r>
          </w:p>
        </w:tc>
        <w:tc>
          <w:tcPr>
            <w:tcW w:type="dxa" w:w="4320"/>
          </w:tcPr>
          <w:p>
            <w:r>
              <w:t>Suspicious Transaction Report = 疑わしい取引報告（SARと同じ）</w:t>
            </w:r>
          </w:p>
        </w:tc>
      </w:tr>
      <w:tr>
        <w:tc>
          <w:tcPr>
            <w:tcW w:type="dxa" w:w="4320"/>
          </w:tcPr>
          <w:p>
            <w:r>
              <w:t>CMIR (シー・エム・アイ・アール)</w:t>
            </w:r>
          </w:p>
        </w:tc>
        <w:tc>
          <w:tcPr>
            <w:tcW w:type="dxa" w:w="4320"/>
          </w:tcPr>
          <w:p>
            <w:r>
              <w:t>Currency and Monetary Instrument Report = 通貨・金融証書報告書</w:t>
            </w:r>
          </w:p>
        </w:tc>
      </w:tr>
    </w:tbl>
    <w:p/>
    <w:p>
      <w:r>
        <w:t>SAR = STR = 同じもの:</w:t>
      </w:r>
    </w:p>
    <w:p>
      <w:r>
        <w:t xml:space="preserve">  SAR: Suspicious Activity Report → 米国 / CAMS試験で使う</w:t>
      </w:r>
    </w:p>
    <w:p>
      <w:r>
        <w:t xml:space="preserve">  STR: Suspicious Transaction Report → 日本・国際 / FATFで使う</w:t>
      </w:r>
    </w:p>
    <w:p>
      <w:r>
        <w:t xml:space="preserve">  → 呼び方が違うだけ。中身は同じ「怪しい取引の届出」</w:t>
      </w:r>
    </w:p>
    <w:p/>
    <w:p>
      <w:r>
        <w:t xml:space="preserve">  Activity（活動）vs Transaction（取引）:</w:t>
      </w:r>
    </w:p>
    <w:p>
      <w:r>
        <w:t xml:space="preserve">  米国のほうが少し範囲が広いニュアンスだが、実務上は同じ</w:t>
      </w:r>
    </w:p>
    <w:p/>
    <w:p>
      <w:pPr>
        <w:pStyle w:val="Heading3"/>
      </w:pPr>
      <w:r>
        <w:t>Q10（カジノ）との比較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Q10（カジノ）</w:t>
            </w:r>
          </w:p>
        </w:tc>
        <w:tc>
          <w:tcPr>
            <w:tcW w:type="dxa" w:w="2880"/>
          </w:tcPr>
          <w:p>
            <w:r>
              <w:t>Q14（銀行）</w:t>
            </w:r>
          </w:p>
        </w:tc>
      </w:tr>
      <w:tr>
        <w:tc>
          <w:tcPr>
            <w:tcW w:type="dxa" w:w="2880"/>
          </w:tcPr>
          <w:p>
            <w:r>
              <w:t>閾値</w:t>
            </w:r>
          </w:p>
        </w:tc>
        <w:tc>
          <w:tcPr>
            <w:tcW w:type="dxa" w:w="2880"/>
          </w:tcPr>
          <w:p>
            <w:r>
              <w:t>$3,000（記録）</w:t>
            </w:r>
          </w:p>
        </w:tc>
        <w:tc>
          <w:tcPr>
            <w:tcW w:type="dxa" w:w="2880"/>
          </w:tcPr>
          <w:p>
            <w:r>
              <w:t>$10,000（CTR）</w:t>
            </w:r>
          </w:p>
        </w:tc>
      </w:tr>
      <w:tr>
        <w:tc>
          <w:tcPr>
            <w:tcW w:type="dxa" w:w="2880"/>
          </w:tcPr>
          <w:p>
            <w:r>
              <w:t>犯罪者の手口</w:t>
            </w:r>
          </w:p>
        </w:tc>
        <w:tc>
          <w:tcPr>
            <w:tcW w:type="dxa" w:w="2880"/>
          </w:tcPr>
          <w:p>
            <w:r>
              <w:t>$2,900ずつ換金</w:t>
            </w:r>
          </w:p>
        </w:tc>
        <w:tc>
          <w:tcPr>
            <w:tcW w:type="dxa" w:w="2880"/>
          </w:tcPr>
          <w:p>
            <w:r>
              <w:t>$9,200〜$9,850ずつ入金</w:t>
            </w:r>
          </w:p>
        </w:tc>
      </w:tr>
      <w:tr>
        <w:tc>
          <w:tcPr>
            <w:tcW w:type="dxa" w:w="2880"/>
          </w:tcPr>
          <w:p>
            <w:r>
              <w:t>追加要素</w:t>
            </w:r>
          </w:p>
        </w:tc>
        <w:tc>
          <w:tcPr>
            <w:tcW w:type="dxa" w:w="2880"/>
          </w:tcPr>
          <w:p>
            <w:r>
              <w:t>一旦立ち去って戻る</w:t>
            </w:r>
          </w:p>
        </w:tc>
        <w:tc>
          <w:tcPr>
            <w:tcW w:type="dxa" w:w="2880"/>
          </w:tcPr>
          <w:p>
            <w:r>
              <w:t>複数支店を使う</w:t>
            </w:r>
          </w:p>
        </w:tc>
      </w:tr>
      <w:tr>
        <w:tc>
          <w:tcPr>
            <w:tcW w:type="dxa" w:w="2880"/>
          </w:tcPr>
          <w:p>
            <w:r>
              <w:t>共通点</w:t>
            </w:r>
          </w:p>
        </w:tc>
        <w:tc>
          <w:tcPr>
            <w:tcW w:type="dxa" w:w="2880"/>
          </w:tcPr>
          <w:p>
            <w:r>
              <w:t>閾値ギリギリ下を狙う</w:t>
            </w:r>
          </w:p>
        </w:tc>
        <w:tc>
          <w:tcPr>
            <w:tcW w:type="dxa" w:w="2880"/>
          </w:tcPr>
          <w:p>
            <w:r>
              <w:t>同じ</w:t>
            </w:r>
          </w:p>
        </w:tc>
      </w:tr>
    </w:tbl>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Q14（ストラクチャリングとSAR）</w:t>
            </w:r>
          </w:p>
        </w:tc>
        <w:tc>
          <w:tcPr>
            <w:tcW w:type="dxa" w:w="2880"/>
          </w:tcPr>
          <w:p>
            <w:r>
              <w:t>問7-2（疑わしい取引の類型）</w:t>
            </w:r>
          </w:p>
        </w:tc>
      </w:tr>
      <w:tr>
        <w:tc>
          <w:tcPr>
            <w:tcW w:type="dxa" w:w="2880"/>
          </w:tcPr>
          <w:p>
            <w:r>
              <w:t>ストラクチャリング</w:t>
            </w:r>
          </w:p>
        </w:tc>
        <w:tc>
          <w:tcPr>
            <w:tcW w:type="dxa" w:w="2880"/>
          </w:tcPr>
          <w:p>
            <w:r>
              <w:t>31 USC §5324でそれ自体が犯罪</w:t>
            </w:r>
          </w:p>
        </w:tc>
        <w:tc>
          <w:tcPr>
            <w:tcW w:type="dxa" w:w="2880"/>
          </w:tcPr>
          <w:p>
            <w:r>
              <w:t>明示的な「ストラクチャリング罪」はないが疑わしい取引として届出対象</w:t>
            </w:r>
          </w:p>
        </w:tc>
      </w:tr>
      <w:tr>
        <w:tc>
          <w:tcPr>
            <w:tcW w:type="dxa" w:w="2880"/>
          </w:tcPr>
          <w:p>
            <w:r>
              <w:t>報告制度</w:t>
            </w:r>
          </w:p>
        </w:tc>
        <w:tc>
          <w:tcPr>
            <w:tcW w:type="dxa" w:w="2880"/>
          </w:tcPr>
          <w:p>
            <w:r>
              <w:t>CTR + SAR + CMIRの3本</w:t>
            </w:r>
          </w:p>
        </w:tc>
        <w:tc>
          <w:tcPr>
            <w:tcW w:type="dxa" w:w="2880"/>
          </w:tcPr>
          <w:p>
            <w:r>
              <w:t>疑わしい取引の届出1本のみ（CTR/CMIRなし）</w:t>
            </w:r>
          </w:p>
        </w:tc>
      </w:tr>
      <w:tr>
        <w:tc>
          <w:tcPr>
            <w:tcW w:type="dxa" w:w="2880"/>
          </w:tcPr>
          <w:p>
            <w:r>
              <w:t>閾値</w:t>
            </w:r>
          </w:p>
        </w:tc>
        <w:tc>
          <w:tcPr>
            <w:tcW w:type="dxa" w:w="2880"/>
          </w:tcPr>
          <w:p>
            <w:r>
              <w:t>$10,000（CTR）/ $5,000（SAR）</w:t>
            </w:r>
          </w:p>
        </w:tc>
        <w:tc>
          <w:tcPr>
            <w:tcW w:type="dxa" w:w="2880"/>
          </w:tcPr>
          <w:p>
            <w:r>
              <w:t>200万円超（取引時確認）/ 金額基準なし（届出）</w:t>
            </w:r>
          </w:p>
        </w:tc>
      </w:tr>
    </w:tbl>
    <w:p/>
    <w:p>
      <w:r>
        <w:t>━━━━━━━━━━━━━━━━━━━━━━━━━━━━━━━━━━━━━━━━━━━━━━━━━━</w:t>
      </w:r>
    </w:p>
    <w:p>
      <w:pPr>
        <w:pStyle w:val="Heading2"/>
      </w:pPr>
      <w:r>
        <w:t>📝 関連する試験問題</w:t>
      </w:r>
    </w:p>
    <w:p>
      <w:r>
        <w:t>• CAMS Q3: ストラクチャリングの定義（プレースメントの手法）</w:t>
      </w:r>
    </w:p>
    <w:p>
      <w:r>
        <w:t>• CAMS Q10: カジノでのストラクチャリング（$2,900）</w:t>
      </w:r>
    </w:p>
    <w:p>
      <w:r>
        <w:t>• CAMS Q70: SAR提出の30日/60日ルールと$5,000閾値</w:t>
      </w:r>
    </w:p>
    <w:p>
      <w:r>
        <w:t>• CAMS Q76: SAR守秘義務（法執行機関にも原則非開示）</w:t>
      </w:r>
    </w:p>
    <w:p>
      <w:r>
        <w:t>• 日本AML 問7-1: 疑わしい取引の届出義務</w:t>
      </w:r>
    </w:p>
    <w:p>
      <w:r>
        <w:t>• 日本AML 問7-2: 疑わしい取引の類型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