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CAMS Q9 — ファンネル・アカウントのレッドフラッグ</w:t>
      </w:r>
    </w:p>
    <w:p>
      <w:r>
        <w:t>Domain 1: ML/TF Risks and Methods | タグ: ml-basics, monitoring</w:t>
      </w:r>
    </w:p>
    <w:p>
      <w:r>
        <w:t>━━━━━━━━━━━━━━━━━━━━━━━━━━━━━━━━━━━━━━━━━━━━━━━━━━</w:t>
      </w:r>
    </w:p>
    <w:p>
      <w:pPr>
        <w:pStyle w:val="Heading2"/>
      </w:pPr>
      <w:r>
        <w:t>問題</w:t>
      </w:r>
    </w:p>
    <w:p>
      <w:r>
        <w:t>預金取扱金融機関において、規制上のレッドフラッグと見なされる可能性が最も高いものはどれか。</w:t>
      </w:r>
    </w:p>
    <w:p/>
    <w:p>
      <w:r>
        <w:t>A. 既知の雇用主からの定期的な給与振込</w:t>
      </w:r>
    </w:p>
    <w:p>
      <w:r>
        <w:t>B. 顧客の収入と一致する一定パターンの預金</w:t>
      </w:r>
    </w:p>
    <w:p>
      <w:r>
        <w:t>C. 単一の受取人への国内電信送金の大量集中</w:t>
      </w:r>
    </w:p>
    <w:p>
      <w:r>
        <w:t>D. 活動が最小限で異常な取引のない口座</w:t>
      </w:r>
    </w:p>
    <w:p>
      <w:r>
        <w:t>━━━━━━━━━━━━━━━━━━━━━━━━━━━━━━━━━━━━━━━━━━━━━━━━━━</w:t>
      </w:r>
    </w:p>
    <w:p>
      <w:pPr>
        <w:pStyle w:val="Heading2"/>
      </w:pPr>
      <w:r>
        <w:t>正解: C</w:t>
      </w:r>
    </w:p>
    <w:p>
      <w:pPr>
        <w:pStyle w:val="Heading2"/>
      </w:pPr>
      <w:r>
        <w:t>解説</w:t>
      </w:r>
    </w:p>
    <w:p>
      <w:r>
        <w:t>単一受取人への国内電信送金の大量集中は、違法資金の集約（ファンネル）またはMLの兆候となりうる。FinCEN Advisory・FATF典型例ともに「Funnel Account」「Concentration Account」の徴候として明示。A/B/Dはいずれも通常の取引パターンであり、レッドフラッグではない。</w:t>
      </w:r>
    </w:p>
    <w:p>
      <w:pPr>
        <w:pStyle w:val="Heading2"/>
      </w:pPr>
      <w:r>
        <w:t>English Version</w:t>
      </w:r>
    </w:p>
    <w:p>
      <w:r>
        <w:t>Which of the following would most likely be considered a regulatory red flag in a deposit-taking institution?</w:t>
      </w:r>
    </w:p>
    <w:p>
      <w:r>
        <w:t>━━━━━━━━━━━━━━━━━━━━━━━━━━━━━━━━━━━━━━━━━━━━━━━━━━</w:t>
      </w:r>
    </w:p>
    <w:p>
      <w:pPr>
        <w:pStyle w:val="Heading2"/>
      </w:pPr>
      <w:r>
        <w:t>📚 Q9から広がった関連知識</w:t>
      </w:r>
    </w:p>
    <w:p>
      <w:pPr>
        <w:pStyle w:val="Heading3"/>
      </w:pPr>
      <w:r>
        <w:t>選択肢の判断法：「普通を消去、異常を選ぶ」</w:t>
      </w:r>
    </w:p>
    <w:tbl>
      <w:tblPr>
        <w:tblStyle w:val="TableGrid"/>
        <w:tblW w:type="auto" w:w="0"/>
        <w:tblLook w:firstColumn="1" w:firstRow="1" w:lastColumn="0" w:lastRow="0" w:noHBand="0" w:noVBand="1" w:val="04A0"/>
      </w:tblPr>
      <w:tblGrid>
        <w:gridCol w:w="2880"/>
        <w:gridCol w:w="2880"/>
        <w:gridCol w:w="2880"/>
      </w:tblGrid>
      <w:tr>
        <w:tc>
          <w:tcPr>
            <w:tcW w:type="dxa" w:w="2880"/>
          </w:tcPr>
          <w:p>
            <w:r>
              <w:t>選択肢</w:t>
            </w:r>
          </w:p>
        </w:tc>
        <w:tc>
          <w:tcPr>
            <w:tcW w:type="dxa" w:w="2880"/>
          </w:tcPr>
          <w:p>
            <w:r>
              <w:t>判断</w:t>
            </w:r>
          </w:p>
        </w:tc>
        <w:tc>
          <w:tcPr>
            <w:tcW w:type="dxa" w:w="2880"/>
          </w:tcPr>
          <w:p>
            <w:r>
              <w:t>理由</w:t>
            </w:r>
          </w:p>
        </w:tc>
      </w:tr>
      <w:tr>
        <w:tc>
          <w:tcPr>
            <w:tcW w:type="dxa" w:w="2880"/>
          </w:tcPr>
          <w:p>
            <w:r>
              <w:t>A. 定期的な給与振込</w:t>
            </w:r>
          </w:p>
        </w:tc>
        <w:tc>
          <w:tcPr>
            <w:tcW w:type="dxa" w:w="2880"/>
          </w:tcPr>
          <w:p>
            <w:r>
              <w:t>普通 ✅</w:t>
            </w:r>
          </w:p>
        </w:tc>
        <w:tc>
          <w:tcPr>
            <w:tcW w:type="dxa" w:w="2880"/>
          </w:tcPr>
          <w:p>
            <w:r>
              <w:t>通常の取引パターン</w:t>
            </w:r>
          </w:p>
        </w:tc>
      </w:tr>
      <w:tr>
        <w:tc>
          <w:tcPr>
            <w:tcW w:type="dxa" w:w="2880"/>
          </w:tcPr>
          <w:p>
            <w:r>
              <w:t>B. 収入と一致する預金</w:t>
            </w:r>
          </w:p>
        </w:tc>
        <w:tc>
          <w:tcPr>
            <w:tcW w:type="dxa" w:w="2880"/>
          </w:tcPr>
          <w:p>
            <w:r>
              <w:t>普通 ✅</w:t>
            </w:r>
          </w:p>
        </w:tc>
        <w:tc>
          <w:tcPr>
            <w:tcW w:type="dxa" w:w="2880"/>
          </w:tcPr>
          <w:p>
            <w:r>
              <w:t>プロファイルと整合している</w:t>
            </w:r>
          </w:p>
        </w:tc>
      </w:tr>
      <w:tr>
        <w:tc>
          <w:tcPr>
            <w:tcW w:type="dxa" w:w="2880"/>
          </w:tcPr>
          <w:p>
            <w:r>
              <w:t>C. 単一受取人への大量送金</w:t>
            </w:r>
          </w:p>
        </w:tc>
        <w:tc>
          <w:tcPr>
            <w:tcW w:type="dxa" w:w="2880"/>
          </w:tcPr>
          <w:p>
            <w:r>
              <w:t>異常 ❌</w:t>
            </w:r>
          </w:p>
        </w:tc>
        <w:tc>
          <w:tcPr>
            <w:tcW w:type="dxa" w:w="2880"/>
          </w:tcPr>
          <w:p>
            <w:r>
              <w:t>ファンネル・アカウントの典型</w:t>
            </w:r>
          </w:p>
        </w:tc>
      </w:tr>
      <w:tr>
        <w:tc>
          <w:tcPr>
            <w:tcW w:type="dxa" w:w="2880"/>
          </w:tcPr>
          <w:p>
            <w:r>
              <w:t>D. 活動が最小限</w:t>
            </w:r>
          </w:p>
        </w:tc>
        <w:tc>
          <w:tcPr>
            <w:tcW w:type="dxa" w:w="2880"/>
          </w:tcPr>
          <w:p>
            <w:r>
              <w:t>普通 ✅</w:t>
            </w:r>
          </w:p>
        </w:tc>
        <w:tc>
          <w:tcPr>
            <w:tcW w:type="dxa" w:w="2880"/>
          </w:tcPr>
          <w:p>
            <w:r>
              <w:t>異常な取引がない</w:t>
            </w:r>
          </w:p>
        </w:tc>
      </w:tr>
    </w:tbl>
    <w:p/>
    <w:p>
      <w:r>
        <w:t>コツ: 「普通の取引」を消去すれば、レッドフラッグが残る</w:t>
      </w:r>
    </w:p>
    <w:p/>
    <w:p>
      <w:pPr>
        <w:pStyle w:val="Heading3"/>
      </w:pPr>
      <w:r>
        <w:t>ファンネル・アカウント（Funnel Account / 漏斗口座）</w:t>
      </w:r>
    </w:p>
    <w:p>
      <w:r>
        <w:t>Funnel = 漏斗（じょうご）= 多くの入口から1つの出口に集約する</w:t>
      </w:r>
    </w:p>
    <w:p/>
    <w:p>
      <w:r>
        <w:t>仕組み:</w:t>
      </w:r>
    </w:p>
    <w:p>
      <w:r>
        <w:t xml:space="preserve">  多数の人・場所から入金</w:t>
      </w:r>
    </w:p>
    <w:p>
      <w:r>
        <w:t xml:space="preserve">      ↓ ↓ ↓（漏斗のように集約）</w:t>
      </w:r>
    </w:p>
    <w:p>
      <w:r>
        <w:t xml:space="preserve">       ↓↓↓</w:t>
      </w:r>
    </w:p>
    <w:p>
      <w:r>
        <w:t xml:space="preserve">        ↓</w:t>
      </w:r>
    </w:p>
    <w:p>
      <w:r>
        <w:t xml:space="preserve">   単一の受取人へ送金</w:t>
      </w:r>
    </w:p>
    <w:p/>
    <w:p>
      <w:r>
        <w:t>Q22でファンネル・アカウントの詳しい定義が出題される:</w:t>
      </w:r>
    </w:p>
    <w:p>
      <w:r>
        <w:t xml:space="preserve">  「複数の地理的拠点で閾値以下の金額で入金が行われ、</w:t>
      </w:r>
    </w:p>
    <w:p>
      <w:r>
        <w:t xml:space="preserve">   別の地理的場所（多くは国境付近）で迅速に出金される」</w:t>
      </w:r>
    </w:p>
    <w:p/>
    <w:p>
      <w:pPr>
        <w:pStyle w:val="Heading3"/>
      </w:pPr>
      <w:r>
        <w:t>Q8との繋がり</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Q8</w:t>
            </w:r>
          </w:p>
        </w:tc>
        <w:tc>
          <w:tcPr>
            <w:tcW w:type="dxa" w:w="2880"/>
          </w:tcPr>
          <w:p>
            <w:r>
              <w:t>Q9</w:t>
            </w:r>
          </w:p>
        </w:tc>
      </w:tr>
      <w:tr>
        <w:tc>
          <w:tcPr>
            <w:tcW w:type="dxa" w:w="2880"/>
          </w:tcPr>
          <w:p>
            <w:r>
              <w:t>見分け方</w:t>
            </w:r>
          </w:p>
        </w:tc>
        <w:tc>
          <w:tcPr>
            <w:tcW w:type="dxa" w:w="2880"/>
          </w:tcPr>
          <w:p>
            <w:r>
              <w:t>業種と取引の不一致</w:t>
            </w:r>
          </w:p>
        </w:tc>
        <w:tc>
          <w:tcPr>
            <w:tcW w:type="dxa" w:w="2880"/>
          </w:tcPr>
          <w:p>
            <w:r>
              <w:t>取引パターン自体が異常</w:t>
            </w:r>
          </w:p>
        </w:tc>
      </w:tr>
      <w:tr>
        <w:tc>
          <w:tcPr>
            <w:tcW w:type="dxa" w:w="2880"/>
          </w:tcPr>
          <w:p>
            <w:r>
              <w:t>共通原則</w:t>
            </w:r>
          </w:p>
        </w:tc>
        <w:tc>
          <w:tcPr>
            <w:tcW w:type="dxa" w:w="2880"/>
          </w:tcPr>
          <w:p>
            <w:r>
              <w:t>「普通じゃない」を見つける</w:t>
            </w:r>
          </w:p>
        </w:tc>
        <w:tc>
          <w:tcPr>
            <w:tcW w:type="dxa" w:w="2880"/>
          </w:tcPr>
          <w:p>
            <w:r>
              <w:t>同じ</w:t>
            </w:r>
          </w:p>
        </w:tc>
      </w:tr>
      <w:tr>
        <w:tc>
          <w:tcPr>
            <w:tcW w:type="dxa" w:w="2880"/>
          </w:tcPr>
          <w:p>
            <w:r>
              <w:t>判断法</w:t>
            </w:r>
          </w:p>
        </w:tc>
        <w:tc>
          <w:tcPr>
            <w:tcW w:type="dxa" w:w="2880"/>
          </w:tcPr>
          <w:p>
            <w:r>
              <w:t>A/B/Dは「普通」、残りが「異常」</w:t>
            </w:r>
          </w:p>
        </w:tc>
        <w:tc>
          <w:tcPr>
            <w:tcW w:type="dxa" w:w="2880"/>
          </w:tcPr>
          <w:p>
            <w:r>
              <w:t>同じ消去法</w:t>
            </w:r>
          </w:p>
        </w:tc>
      </w:tr>
    </w:tbl>
    <w:p/>
    <w:p>
      <w:pPr>
        <w:pStyle w:val="Heading3"/>
      </w:pPr>
      <w:r>
        <w:t>本番ではこう応用される</w:t>
      </w:r>
    </w:p>
    <w:p>
      <w:r>
        <w:t>Q9の原則「普通を消去、異常を選ぶ」が、もっと紛らわしい形で出る:</w:t>
      </w:r>
    </w:p>
    <w:p/>
    <w:p>
      <w:r>
        <w:t>例:「以下のうち、レッドフラッグとして最も適切でないものはどれか」</w:t>
      </w:r>
    </w:p>
    <w:p>
      <w:r>
        <w:t xml:space="preserve">  A. 複数の無関係な第三者からの頻繁な入金</w:t>
      </w:r>
    </w:p>
    <w:p>
      <w:r>
        <w:t xml:space="preserve">  B. 口座保有者の事業規模に不釣り合いな国際送金</w:t>
      </w:r>
    </w:p>
    <w:p>
      <w:r>
        <w:t xml:space="preserve">  C. 公共料金の月次自動引落し ← 正解（これだけ普通）</w:t>
      </w:r>
    </w:p>
    <w:p>
      <w:r>
        <w:t xml:space="preserve">  D. 閾値直下の金額での反復的な現金預入</w:t>
      </w:r>
    </w:p>
    <w:p/>
    <w:tbl>
      <w:tblPr>
        <w:tblStyle w:val="TableGrid"/>
        <w:tblW w:type="auto" w:w="0"/>
        <w:tblLook w:firstColumn="1" w:firstRow="1" w:lastColumn="0" w:lastRow="0" w:noHBand="0" w:noVBand="1" w:val="04A0"/>
      </w:tblPr>
      <w:tblGrid>
        <w:gridCol w:w="4320"/>
        <w:gridCol w:w="4320"/>
      </w:tblGrid>
      <w:tr>
        <w:tc>
          <w:tcPr>
            <w:tcW w:type="dxa" w:w="4320"/>
          </w:tcPr>
          <w:p>
            <w:r>
              <w:t>Q9（今の問題）</w:t>
            </w:r>
          </w:p>
        </w:tc>
        <w:tc>
          <w:tcPr>
            <w:tcW w:type="dxa" w:w="4320"/>
          </w:tcPr>
          <w:p>
            <w:r>
              <w:t>本番</w:t>
            </w:r>
          </w:p>
        </w:tc>
      </w:tr>
      <w:tr>
        <w:tc>
          <w:tcPr>
            <w:tcW w:type="dxa" w:w="4320"/>
          </w:tcPr>
          <w:p>
            <w:r>
              <w:t>3つが明らかに普通</w:t>
            </w:r>
          </w:p>
        </w:tc>
        <w:tc>
          <w:tcPr>
            <w:tcW w:type="dxa" w:w="4320"/>
          </w:tcPr>
          <w:p>
            <w:r>
              <w:t>3つが全部怪しく見える</w:t>
            </w:r>
          </w:p>
        </w:tc>
      </w:tr>
      <w:tr>
        <w:tc>
          <w:tcPr>
            <w:tcW w:type="dxa" w:w="4320"/>
          </w:tcPr>
          <w:p>
            <w:r>
              <w:t>即答できる</w:t>
            </w:r>
          </w:p>
        </w:tc>
        <w:tc>
          <w:tcPr>
            <w:tcW w:type="dxa" w:w="4320"/>
          </w:tcPr>
          <w:p>
            <w:r>
              <w:t>知識がないと迷う</w:t>
            </w:r>
          </w:p>
        </w:tc>
      </w:tr>
    </w:tbl>
    <w:p/>
    <w:p>
      <w:r>
        <w:t>→ 原則は同じ。Q9で「普通と異常を見分ける原則」を固めておくことが、本番の難問を解く土台になる。</w:t>
      </w:r>
    </w:p>
    <w:p/>
    <w:p>
      <w:pPr>
        <w:pStyle w:val="Heading3"/>
      </w:pPr>
      <w:r>
        <w:t>この問題が「簡単」に見える理由</w:t>
      </w:r>
    </w:p>
    <w:p>
      <w:r>
        <w:t>Q1〜Q8で原則を身につけたから:</w:t>
      </w:r>
    </w:p>
    <w:p>
      <w:r>
        <w:t xml:space="preserve">  学ぶ前 → 「C…かな？でもDもありえるかも…」</w:t>
      </w:r>
    </w:p>
    <w:p>
      <w:r>
        <w:t xml:space="preserve">  学んだ後 → 「A/B/Dは普通。Cだけ異常。即答！」</w:t>
      </w:r>
    </w:p>
    <w:p/>
    <w:p>
      <w:r>
        <w:t>→ 基礎を積み上げた結果、簡単に見えるようになった = 実力がついた証拠</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Q9（大量送金）、Q22（ファンネル・アカウント定義）</w:t>
            </w:r>
          </w:p>
        </w:tc>
        <w:tc>
          <w:tcPr>
            <w:tcW w:type="dxa" w:w="2880"/>
          </w:tcPr>
          <w:p>
            <w:r>
              <w:t>問7-2（疑わしい取引の類型）</w:t>
            </w:r>
          </w:p>
        </w:tc>
      </w:tr>
      <w:tr>
        <w:tc>
          <w:tcPr>
            <w:tcW w:type="dxa" w:w="2880"/>
          </w:tcPr>
          <w:p>
            <w:r>
              <w:t>関連する類型</w:t>
            </w:r>
          </w:p>
        </w:tc>
        <w:tc>
          <w:tcPr>
            <w:tcW w:type="dxa" w:w="2880"/>
          </w:tcPr>
          <w:p>
            <w:r>
              <w:t>Funnel Account / Concentration Account</w:t>
            </w:r>
          </w:p>
        </w:tc>
        <w:tc>
          <w:tcPr>
            <w:tcW w:type="dxa" w:w="2880"/>
          </w:tcPr>
          <w:p>
            <w:r>
              <w:t>「短期間に多数の口座を開設」「口座開設後すぐに多額の入出金」</w:t>
            </w:r>
          </w:p>
        </w:tc>
      </w:tr>
      <w:tr>
        <w:tc>
          <w:tcPr>
            <w:tcW w:type="dxa" w:w="2880"/>
          </w:tcPr>
          <w:p>
            <w:r>
              <w:t>根拠</w:t>
            </w:r>
          </w:p>
        </w:tc>
        <w:tc>
          <w:tcPr>
            <w:tcW w:type="dxa" w:w="2880"/>
          </w:tcPr>
          <w:p>
            <w:r>
              <w:t>FinCEN Advisory / FATF典型例</w:t>
            </w:r>
          </w:p>
        </w:tc>
        <w:tc>
          <w:tcPr>
            <w:tcW w:type="dxa" w:w="2880"/>
          </w:tcPr>
          <w:p>
            <w:r>
              <w:t>犯収法第8条・疑わしい取引の参考事例</w:t>
            </w:r>
          </w:p>
        </w:tc>
      </w:tr>
    </w:tbl>
    <w:p/>
    <w:p>
      <w:r>
        <w:t>━━━━━━━━━━━━━━━━━━━━━━━━━━━━━━━━━━━━━━━━━━━━━━━━━━</w:t>
      </w:r>
    </w:p>
    <w:p>
      <w:pPr>
        <w:pStyle w:val="Heading2"/>
      </w:pPr>
      <w:r>
        <w:t>📝 関連する試験問題</w:t>
      </w:r>
    </w:p>
    <w:p>
      <w:r>
        <w:t>• CAMS Q8: フロント企業（業種と取引の不一致）</w:t>
      </w:r>
    </w:p>
    <w:p>
      <w:r>
        <w:t>• CAMS Q10: カジノでのストラクチャリング（次の問題）</w:t>
      </w:r>
    </w:p>
    <w:p>
      <w:r>
        <w:t>• CAMS Q14: ストラクチャリングとSAR提出</w:t>
      </w:r>
    </w:p>
    <w:p>
      <w:r>
        <w:t>• CAMS Q22: ファンネル・アカウントの定義</w:t>
      </w:r>
    </w:p>
    <w:p>
      <w:r>
        <w:t>• CAMS Q60: CDD Trigger Event</w:t>
      </w:r>
    </w:p>
    <w:p>
      <w:r>
        <w:t>• 日本AML 問7-2: 疑わしい取引の類型</w:t>
      </w:r>
    </w:p>
    <w:p>
      <w:r>
        <w:t>• 日本AML 問7-3: 取引モニタリング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