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Q8 — フロント企業と継続的顧客管理</w:t>
      </w:r>
    </w:p>
    <w:p>
      <w:r>
        <w:t>Domain 1: ML/TF Risks and Methods | タグ: ml-basics, cdd, monitoring</w:t>
      </w:r>
    </w:p>
    <w:p>
      <w:r>
        <w:t>━━━━━━━━━━━━━━━━━━━━━━━━━━━━━━━━━━━━━━━━━━━━━━━━━━</w:t>
      </w:r>
    </w:p>
    <w:p>
      <w:pPr>
        <w:pStyle w:val="Heading2"/>
      </w:pPr>
      <w:r>
        <w:t>問題</w:t>
      </w:r>
    </w:p>
    <w:p>
      <w:r>
        <w:t>ある顧客は「スクラップ金属業」を営んでいると申告している。しかし口座活動を見ると、現金入金は一切なく、無関係な第三者からの電信送金のみが確認される。この不一致が示唆するものは何か。</w:t>
      </w:r>
    </w:p>
    <w:p/>
    <w:p>
      <w:r>
        <w:t>A. 現金の受け取りをやめた</w:t>
      </w:r>
    </w:p>
    <w:p>
      <w:r>
        <w:t>B. 「スクラップ金属業」はフロント企業（ダミー）であり、電信送金は別の犯罪（例：詐欺）による違法収益である可能性が高い</w:t>
      </w:r>
    </w:p>
    <w:p>
      <w:r>
        <w:t>C. 市場が変わった</w:t>
      </w:r>
    </w:p>
    <w:p>
      <w:r>
        <w:t>D. 別の銀行で現金を扱っている</w:t>
      </w:r>
    </w:p>
    <w:p>
      <w:r>
        <w:t>━━━━━━━━━━━━━━━━━━━━━━━━━━━━━━━━━━━━━━━━━━━━━━━━━━</w:t>
      </w:r>
    </w:p>
    <w:p>
      <w:pPr>
        <w:pStyle w:val="Heading2"/>
      </w:pPr>
      <w:r>
        <w:t>正解: B</w:t>
      </w:r>
    </w:p>
    <w:p>
      <w:pPr>
        <w:pStyle w:val="Heading2"/>
      </w:pPr>
      <w:r>
        <w:t>解説</w:t>
      </w:r>
    </w:p>
    <w:p>
      <w:r>
        <w:t>スクラップ金属業は本質的に現金多量取扱業であり、現金入金ゼロ・電信送金のみという取引構造は申告業種と矛盾。詐欺等の電子的犯罪収益のフロントとして業種を偽装している可能性が高い。FATF「Misuse of Corporate Vehicles」が示すフロント企業の典型徴候。</w:t>
      </w:r>
    </w:p>
    <w:p>
      <w:pPr>
        <w:pStyle w:val="Heading2"/>
      </w:pPr>
      <w:r>
        <w:t>English Version</w:t>
      </w:r>
    </w:p>
    <w:p>
      <w:r>
        <w:t>A customer claims to run a "Scrap Metal" business (high cash volume). Account activity shows only wire transfers from unrelated third parties and no cash deposits. This discrepancy suggests:</w:t>
      </w:r>
    </w:p>
    <w:p>
      <w:r>
        <w:t>━━━━━━━━━━━━━━━━━━━━━━━━━━━━━━━━━━━━━━━━━━━━━━━━━━</w:t>
      </w:r>
    </w:p>
    <w:p>
      <w:pPr>
        <w:pStyle w:val="Heading2"/>
      </w:pPr>
      <w:r>
        <w:t>📚 Q8から広がった関連知識</w:t>
      </w:r>
    </w:p>
    <w:p>
      <w:pPr>
        <w:pStyle w:val="Heading3"/>
      </w:pPr>
      <w:r>
        <w:t>この問題の核心：「申告業種と取引パターンの不一致」</w:t>
      </w:r>
    </w:p>
    <w:tbl>
      <w:tblPr>
        <w:tblStyle w:val="TableGrid"/>
        <w:tblW w:type="auto" w:w="0"/>
        <w:tblLook w:firstColumn="1" w:firstRow="1" w:lastColumn="0" w:lastRow="0" w:noHBand="0" w:noVBand="1" w:val="04A0"/>
      </w:tblPr>
      <w:tblGrid>
        <w:gridCol w:w="2880"/>
        <w:gridCol w:w="2880"/>
        <w:gridCol w:w="2880"/>
      </w:tblGrid>
      <w:tr>
        <w:tc>
          <w:tcPr>
            <w:tcW w:type="dxa" w:w="2880"/>
          </w:tcPr>
          <w:p>
            <w:r>
              <w:t>確認事項</w:t>
            </w:r>
          </w:p>
        </w:tc>
        <w:tc>
          <w:tcPr>
            <w:tcW w:type="dxa" w:w="2880"/>
          </w:tcPr>
          <w:p>
            <w:r>
              <w:t>正常</w:t>
            </w:r>
          </w:p>
        </w:tc>
        <w:tc>
          <w:tcPr>
            <w:tcW w:type="dxa" w:w="2880"/>
          </w:tcPr>
          <w:p>
            <w:r>
              <w:t>今回のケース</w:t>
            </w:r>
          </w:p>
        </w:tc>
      </w:tr>
      <w:tr>
        <w:tc>
          <w:tcPr>
            <w:tcW w:type="dxa" w:w="2880"/>
          </w:tcPr>
          <w:p>
            <w:r>
              <w:t>業種</w:t>
            </w:r>
          </w:p>
        </w:tc>
        <w:tc>
          <w:tcPr>
            <w:tcW w:type="dxa" w:w="2880"/>
          </w:tcPr>
          <w:p>
            <w:r>
              <w:t>スクラップ金属業</w:t>
            </w:r>
          </w:p>
        </w:tc>
        <w:tc>
          <w:tcPr>
            <w:tcW w:type="dxa" w:w="2880"/>
          </w:tcPr>
          <w:p>
            <w:r>
              <w:t>スクラップ金属業（申告）</w:t>
            </w:r>
          </w:p>
        </w:tc>
      </w:tr>
      <w:tr>
        <w:tc>
          <w:tcPr>
            <w:tcW w:type="dxa" w:w="2880"/>
          </w:tcPr>
          <w:p>
            <w:r>
              <w:t>期待される取引</w:t>
            </w:r>
          </w:p>
        </w:tc>
        <w:tc>
          <w:tcPr>
            <w:tcW w:type="dxa" w:w="2880"/>
          </w:tcPr>
          <w:p>
            <w:r>
              <w:t>現金入金が多い</w:t>
            </w:r>
          </w:p>
        </w:tc>
        <w:tc>
          <w:tcPr>
            <w:tcW w:type="dxa" w:w="2880"/>
          </w:tcPr>
          <w:p>
            <w:r>
              <w:t>現金入金ゼロ ❌</w:t>
            </w:r>
          </w:p>
        </w:tc>
      </w:tr>
      <w:tr>
        <w:tc>
          <w:tcPr>
            <w:tcW w:type="dxa" w:w="2880"/>
          </w:tcPr>
          <w:p>
            <w:r>
              <w:t>実際の取引</w:t>
            </w:r>
          </w:p>
        </w:tc>
        <w:tc>
          <w:tcPr>
            <w:tcW w:type="dxa" w:w="2880"/>
          </w:tcPr>
          <w:p>
            <w:r>
              <w:t>—</w:t>
            </w:r>
          </w:p>
        </w:tc>
        <w:tc>
          <w:tcPr>
            <w:tcW w:type="dxa" w:w="2880"/>
          </w:tcPr>
          <w:p>
            <w:r>
              <w:t>無関係な第三者からの電信送金 ❌</w:t>
            </w:r>
          </w:p>
        </w:tc>
      </w:tr>
    </w:tbl>
    <w:p/>
    <w:p>
      <w:r>
        <w:t>キーワード: 「期待される取引パターン」と「実際の取引パターン」のギャップがレッドフラッグ</w:t>
      </w:r>
    </w:p>
    <w:p/>
    <w:p>
      <w:pPr>
        <w:pStyle w:val="Heading3"/>
      </w:pPr>
      <w:r>
        <w:t>フロント企業 vs シェル会社</w:t>
      </w:r>
    </w:p>
    <w:tbl>
      <w:tblPr>
        <w:tblStyle w:val="TableGrid"/>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フロント企業</w:t>
            </w:r>
          </w:p>
        </w:tc>
        <w:tc>
          <w:tcPr>
            <w:tcW w:type="dxa" w:w="4320"/>
          </w:tcPr>
          <w:p>
            <w:r>
              <w:t>合法事業を装って犯罪収益を処理するダミー会社</w:t>
            </w:r>
          </w:p>
        </w:tc>
      </w:tr>
      <w:tr>
        <w:tc>
          <w:tcPr>
            <w:tcW w:type="dxa" w:w="4320"/>
          </w:tcPr>
          <w:p>
            <w:r>
              <w:t>シェル会社</w:t>
            </w:r>
          </w:p>
        </w:tc>
        <w:tc>
          <w:tcPr>
            <w:tcW w:type="dxa" w:w="4320"/>
          </w:tcPr>
          <w:p>
            <w:r>
              <w:t>実体のないペーパーカンパニー（Q26で出題）</w:t>
            </w:r>
          </w:p>
        </w:tc>
      </w:tr>
      <w:tr>
        <w:tc>
          <w:tcPr>
            <w:tcW w:type="dxa" w:w="4320"/>
          </w:tcPr>
          <w:p>
            <w:r>
              <w:t>違い</w:t>
            </w:r>
          </w:p>
        </w:tc>
        <w:tc>
          <w:tcPr>
            <w:tcW w:type="dxa" w:w="4320"/>
          </w:tcPr>
          <w:p>
            <w:r>
              <w:t>フロント = 一応事業がある風。シェル = 完全に空っぽ</w:t>
            </w:r>
          </w:p>
        </w:tc>
      </w:tr>
    </w:tbl>
    <w:p/>
    <w:p>
      <w:pPr>
        <w:pStyle w:val="Heading3"/>
      </w:pPr>
      <w:r>
        <w:t>継続的顧客管理（Ongoing CDD）= ずっと見続ける</w:t>
      </w:r>
    </w:p>
    <w:p>
      <w:r>
        <w:t>Q8が言っていること:</w:t>
      </w:r>
    </w:p>
    <w:p>
      <w:r>
        <w:t xml:space="preserve">  口座開設時:「スクラップ金属業です」→ OK</w:t>
      </w:r>
    </w:p>
    <w:p>
      <w:r>
        <w:t xml:space="preserve">  その後も継続的にチェックし続ける:</w:t>
      </w:r>
    </w:p>
    <w:p>
      <w:r>
        <w:t xml:space="preserve">    1ヶ月目: 現金入金あり → 業種と一致 ✅</w:t>
      </w:r>
    </w:p>
    <w:p>
      <w:r>
        <w:t xml:space="preserve">    2ヶ月目: 現金入金あり → 業種と一致 ✅</w:t>
      </w:r>
    </w:p>
    <w:p>
      <w:r>
        <w:t xml:space="preserve">    3ヶ月目: 突然、現金ゼロ + 電信送金だけに → おかしい ❌ → 調査する！</w:t>
      </w:r>
    </w:p>
    <w:p/>
    <w:p>
      <w:r>
        <w:t>本質: 「1回確認して終わり」ではなく「ずっと見続ける」</w:t>
      </w:r>
    </w:p>
    <w:p>
      <w:r>
        <w:t xml:space="preserve">  = FATF R.10の第4要素「継続的モニタリング」</w:t>
      </w:r>
    </w:p>
    <w:p/>
    <w:p>
      <w:r>
        <w:t>覚え方: AMLの仕事 = 「口座を開けたら終わり」ではない。「開けた後もずっと見守る」のが本当の仕事。</w:t>
      </w:r>
    </w:p>
    <w:p/>
    <w:p>
      <w:pPr>
        <w:pStyle w:val="Heading3"/>
      </w:pPr>
      <w:r>
        <w:t>2つの確認タイミング</w:t>
      </w:r>
    </w:p>
    <w:tbl>
      <w:tblPr>
        <w:tblStyle w:val="TableGrid"/>
        <w:tblW w:type="auto" w:w="0"/>
        <w:tblLook w:firstColumn="1" w:firstRow="1" w:lastColumn="0" w:lastRow="0" w:noHBand="0" w:noVBand="1" w:val="04A0"/>
      </w:tblPr>
      <w:tblGrid>
        <w:gridCol w:w="2880"/>
        <w:gridCol w:w="2880"/>
        <w:gridCol w:w="2880"/>
      </w:tblGrid>
      <w:tr>
        <w:tc>
          <w:tcPr>
            <w:tcW w:type="dxa" w:w="2880"/>
          </w:tcPr>
          <w:p>
            <w:r>
              <w:t>タイミング</w:t>
            </w:r>
          </w:p>
        </w:tc>
        <w:tc>
          <w:tcPr>
            <w:tcW w:type="dxa" w:w="2880"/>
          </w:tcPr>
          <w:p>
            <w:r>
              <w:t>やること</w:t>
            </w:r>
          </w:p>
        </w:tc>
        <w:tc>
          <w:tcPr>
            <w:tcW w:type="dxa" w:w="2880"/>
          </w:tcPr>
          <w:p>
            <w:r>
              <w:t>例</w:t>
            </w:r>
          </w:p>
        </w:tc>
      </w:tr>
      <w:tr>
        <w:tc>
          <w:tcPr>
            <w:tcW w:type="dxa" w:w="2880"/>
          </w:tcPr>
          <w:p>
            <w:r>
              <w:t>定期的（Periodic Review）</w:t>
            </w:r>
          </w:p>
        </w:tc>
        <w:tc>
          <w:tcPr>
            <w:tcW w:type="dxa" w:w="2880"/>
          </w:tcPr>
          <w:p>
            <w:r>
              <w:t>1年ごと等にプロファイルを見直す</w:t>
            </w:r>
          </w:p>
        </w:tc>
        <w:tc>
          <w:tcPr>
            <w:tcW w:type="dxa" w:w="2880"/>
          </w:tcPr>
          <w:p>
            <w:r>
              <w:t>「業種変わってないですか？」</w:t>
            </w:r>
          </w:p>
        </w:tc>
      </w:tr>
      <w:tr>
        <w:tc>
          <w:tcPr>
            <w:tcW w:type="dxa" w:w="2880"/>
          </w:tcPr>
          <w:p>
            <w:r>
              <w:t>事象駆動（Event-Driven）</w:t>
            </w:r>
          </w:p>
        </w:tc>
        <w:tc>
          <w:tcPr>
            <w:tcW w:type="dxa" w:w="2880"/>
          </w:tcPr>
          <w:p>
            <w:r>
              <w:t>異常を検知したらすぐ確認</w:t>
            </w:r>
          </w:p>
        </w:tc>
        <w:tc>
          <w:tcPr>
            <w:tcW w:type="dxa" w:w="2880"/>
          </w:tcPr>
          <w:p>
            <w:r>
              <w:t>「急に取引パターンが変わった！」← Q8はこれ</w:t>
            </w:r>
          </w:p>
        </w:tc>
      </w:tr>
    </w:tbl>
    <w:p/>
    <w:p>
      <w:pPr>
        <w:pStyle w:val="Heading3"/>
      </w:pPr>
      <w:r>
        <w:t>「簡単な問題」が重要な理由</w:t>
      </w:r>
    </w:p>
    <w:p>
      <w:r>
        <w:t>CAMSの問題レベルは3段階:</w:t>
      </w:r>
    </w:p>
    <w:tbl>
      <w:tblPr>
        <w:tblStyle w:val="TableGrid"/>
        <w:tblW w:type="auto" w:w="0"/>
        <w:tblLook w:firstColumn="1" w:firstRow="1" w:lastColumn="0" w:lastRow="0" w:noHBand="0" w:noVBand="1" w:val="04A0"/>
      </w:tblPr>
      <w:tblGrid>
        <w:gridCol w:w="2880"/>
        <w:gridCol w:w="2880"/>
        <w:gridCol w:w="2880"/>
      </w:tblGrid>
      <w:tr>
        <w:tc>
          <w:tcPr>
            <w:tcW w:type="dxa" w:w="2880"/>
          </w:tcPr>
          <w:p>
            <w:r>
              <w:t>レベル</w:t>
            </w:r>
          </w:p>
        </w:tc>
        <w:tc>
          <w:tcPr>
            <w:tcW w:type="dxa" w:w="2880"/>
          </w:tcPr>
          <w:p>
            <w:r>
              <w:t>割合</w:t>
            </w:r>
          </w:p>
        </w:tc>
        <w:tc>
          <w:tcPr>
            <w:tcW w:type="dxa" w:w="2880"/>
          </w:tcPr>
          <w:p>
            <w:r>
              <w:t>例</w:t>
            </w:r>
          </w:p>
        </w:tc>
      </w:tr>
      <w:tr>
        <w:tc>
          <w:tcPr>
            <w:tcW w:type="dxa" w:w="2880"/>
          </w:tcPr>
          <w:p>
            <w:r>
              <w:t>簡単（約30%）</w:t>
            </w:r>
          </w:p>
        </w:tc>
        <w:tc>
          <w:tcPr>
            <w:tcW w:type="dxa" w:w="2880"/>
          </w:tcPr>
          <w:p>
            <w:r>
              <w:t>約36問</w:t>
            </w:r>
          </w:p>
        </w:tc>
        <w:tc>
          <w:tcPr>
            <w:tcW w:type="dxa" w:w="2880"/>
          </w:tcPr>
          <w:p>
            <w:r>
              <w:t>Q8、Q2（PEP定義）</w:t>
            </w:r>
          </w:p>
        </w:tc>
      </w:tr>
      <w:tr>
        <w:tc>
          <w:tcPr>
            <w:tcW w:type="dxa" w:w="2880"/>
          </w:tcPr>
          <w:p>
            <w:r>
              <w:t>中程度（約50%）</w:t>
            </w:r>
          </w:p>
        </w:tc>
        <w:tc>
          <w:tcPr>
            <w:tcW w:type="dxa" w:w="2880"/>
          </w:tcPr>
          <w:p>
            <w:r>
              <w:t>約60問</w:t>
            </w:r>
          </w:p>
        </w:tc>
        <w:tc>
          <w:tcPr>
            <w:tcW w:type="dxa" w:w="2880"/>
          </w:tcPr>
          <w:p>
            <w:r>
              <w:t>Q5（フリールック）、Q3（定義の引っ掛け）</w:t>
            </w:r>
          </w:p>
        </w:tc>
      </w:tr>
      <w:tr>
        <w:tc>
          <w:tcPr>
            <w:tcW w:type="dxa" w:w="2880"/>
          </w:tcPr>
          <w:p>
            <w:r>
              <w:t>難しい（約20%）</w:t>
            </w:r>
          </w:p>
        </w:tc>
        <w:tc>
          <w:tcPr>
            <w:tcW w:type="dxa" w:w="2880"/>
          </w:tcPr>
          <w:p>
            <w:r>
              <w:t>約24問</w:t>
            </w:r>
          </w:p>
        </w:tc>
        <w:tc>
          <w:tcPr>
            <w:tcW w:type="dxa" w:w="2880"/>
          </w:tcPr>
          <w:p>
            <w:r>
              <w:t>Q41（EU UBO時系列）、Q76（SAR守秘）</w:t>
            </w:r>
          </w:p>
        </w:tc>
      </w:tr>
    </w:tbl>
    <w:p/>
    <w:p>
      <w:r>
        <w:t>合格ライン75%（90問正解）の計算:</w:t>
      </w:r>
    </w:p>
    <w:p>
      <w:r>
        <w:t xml:space="preserve">  簡単36問全問正解 + 中程度48問（8割）+ 難しい12問（半分）= 96問 → 合格</w:t>
      </w:r>
    </w:p>
    <w:p>
      <w:r>
        <w:t xml:space="preserve">  簡単な問題を10問落とすと → 86問 → 不合格！</w:t>
      </w:r>
    </w:p>
    <w:p/>
    <w:p>
      <w:r>
        <w:t>→ 簡単な問題を確実に取ることが合格の鍵</w:t>
      </w:r>
    </w:p>
    <w:p/>
    <w:p>
      <w:pPr>
        <w:pStyle w:val="Heading3"/>
      </w:pPr>
      <w:r>
        <w:t>Q8の原則「プロファイルと実態を比べろ」の応用パターン</w:t>
      </w:r>
    </w:p>
    <w:p>
      <w:r>
        <w:t>パターン①：もっと複雑な業種偽装</w:t>
      </w:r>
    </w:p>
    <w:p>
      <w:r>
        <w:t xml:space="preserve">  「輸入業者なのに貿易取引ゼロ、国内個人から少額送金多数」→ 調査+SAR検討</w:t>
      </w:r>
    </w:p>
    <w:p/>
    <w:p>
      <w:r>
        <w:t>パターン②：取引パターンの突然の変化（Q60）</w:t>
      </w:r>
    </w:p>
    <w:p>
      <w:r>
        <w:t xml:space="preserve">  「安定していた顧客が突然、高リスク国への国際送金を開始」→ CDD更新トリガー</w:t>
      </w:r>
    </w:p>
    <w:p/>
    <w:p>
      <w:r>
        <w:t>パターン③：取引モニタリングの閾値設定（Q69）</w:t>
      </w:r>
    </w:p>
    <w:p>
      <w:r>
        <w:t xml:space="preserve">  「98%誤検知、閾値を上げてよいか」→ データ分析+ガバナンス承認が必要</w:t>
      </w:r>
    </w:p>
    <w:p/>
    <w:p>
      <w:r>
        <w:t>パターン④：日本AML試験での応用</w:t>
      </w:r>
    </w:p>
    <w:p>
      <w:r>
        <w:t xml:space="preserve">  問7-2「疑わしい取引の類型」→ 「職業・収入に見合わない多額の取引」</w:t>
      </w:r>
    </w:p>
    <w:p>
      <w:r>
        <w:t xml:space="preserve">  問6-6「継続的顧客管理」→ 「取引内容がリスクプロファイルと整合しているか確認」</w:t>
      </w:r>
    </w:p>
    <w:p/>
    <w:tbl>
      <w:tblPr>
        <w:tblStyle w:val="TableGrid"/>
        <w:tblW w:type="auto" w:w="0"/>
        <w:tblLook w:firstColumn="1" w:firstRow="1" w:lastColumn="0" w:lastRow="0" w:noHBand="0" w:noVBand="1" w:val="04A0"/>
      </w:tblPr>
      <w:tblGrid>
        <w:gridCol w:w="4320"/>
        <w:gridCol w:w="4320"/>
      </w:tblGrid>
      <w:tr>
        <w:tc>
          <w:tcPr>
            <w:tcW w:type="dxa" w:w="4320"/>
          </w:tcPr>
          <w:p>
            <w:r>
              <w:t>場面</w:t>
            </w:r>
          </w:p>
        </w:tc>
        <w:tc>
          <w:tcPr>
            <w:tcW w:type="dxa" w:w="4320"/>
          </w:tcPr>
          <w:p>
            <w:r>
              <w:t>Q8の原則の使い方</w:t>
            </w:r>
          </w:p>
        </w:tc>
      </w:tr>
      <w:tr>
        <w:tc>
          <w:tcPr>
            <w:tcW w:type="dxa" w:w="4320"/>
          </w:tcPr>
          <w:p>
            <w:r>
              <w:t>口座開設時</w:t>
            </w:r>
          </w:p>
        </w:tc>
        <w:tc>
          <w:tcPr>
            <w:tcW w:type="dxa" w:w="4320"/>
          </w:tcPr>
          <w:p>
            <w:r>
              <w:t>申告業種に見合った取引か確認</w:t>
            </w:r>
          </w:p>
        </w:tc>
      </w:tr>
      <w:tr>
        <w:tc>
          <w:tcPr>
            <w:tcW w:type="dxa" w:w="4320"/>
          </w:tcPr>
          <w:p>
            <w:r>
              <w:t>継続管理</w:t>
            </w:r>
          </w:p>
        </w:tc>
        <w:tc>
          <w:tcPr>
            <w:tcW w:type="dxa" w:w="4320"/>
          </w:tcPr>
          <w:p>
            <w:r>
              <w:t>取引パターンが突然変わったら調査</w:t>
            </w:r>
          </w:p>
        </w:tc>
      </w:tr>
      <w:tr>
        <w:tc>
          <w:tcPr>
            <w:tcW w:type="dxa" w:w="4320"/>
          </w:tcPr>
          <w:p>
            <w:r>
              <w:t>モニタリング</w:t>
            </w:r>
          </w:p>
        </w:tc>
        <w:tc>
          <w:tcPr>
            <w:tcW w:type="dxa" w:w="4320"/>
          </w:tcPr>
          <w:p>
            <w:r>
              <w:t>システムで「不一致」を自動検知</w:t>
            </w:r>
          </w:p>
        </w:tc>
      </w:tr>
      <w:tr>
        <w:tc>
          <w:tcPr>
            <w:tcW w:type="dxa" w:w="4320"/>
          </w:tcPr>
          <w:p>
            <w:r>
              <w:t>SAR判断</w:t>
            </w:r>
          </w:p>
        </w:tc>
        <w:tc>
          <w:tcPr>
            <w:tcW w:type="dxa" w:w="4320"/>
          </w:tcPr>
          <w:p>
            <w:r>
              <w:t>不一致が説明できなければSAR提出</w:t>
            </w:r>
          </w:p>
        </w:tc>
      </w:tr>
    </w:tbl>
    <w:p/>
    <w:p>
      <w:r>
        <w:t>Q8の本質 = 「プロファイルと実態を比べろ」= 全AML/CFT対策の根幹</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Q8（業種と取引の不一致）</w:t>
            </w:r>
          </w:p>
        </w:tc>
        <w:tc>
          <w:tcPr>
            <w:tcW w:type="dxa" w:w="2880"/>
          </w:tcPr>
          <w:p>
            <w:r>
              <w:t>問6-6（継続的顧客管理）、問7-2（疑わしい取引の類型）</w:t>
            </w:r>
          </w:p>
        </w:tc>
      </w:tr>
      <w:tr>
        <w:tc>
          <w:tcPr>
            <w:tcW w:type="dxa" w:w="2880"/>
          </w:tcPr>
          <w:p>
            <w:r>
              <w:t>共通原則</w:t>
            </w:r>
          </w:p>
        </w:tc>
        <w:tc>
          <w:tcPr>
            <w:tcW w:type="dxa" w:w="2880"/>
          </w:tcPr>
          <w:p>
            <w:r>
              <w:t>「顧客プロファイルと取引の整合性を確認」</w:t>
            </w:r>
          </w:p>
        </w:tc>
        <w:tc>
          <w:tcPr>
            <w:tcW w:type="dxa" w:w="2880"/>
          </w:tcPr>
          <w:p>
            <w:r>
              <w:t>「取引内容がリスクプロファイルと整合しているか確認」</w:t>
            </w:r>
          </w:p>
        </w:tc>
      </w:tr>
      <w:tr>
        <w:tc>
          <w:tcPr>
            <w:tcW w:type="dxa" w:w="2880"/>
          </w:tcPr>
          <w:p>
            <w:r>
              <w:t>根拠</w:t>
            </w:r>
          </w:p>
        </w:tc>
        <w:tc>
          <w:tcPr>
            <w:tcW w:type="dxa" w:w="2880"/>
          </w:tcPr>
          <w:p>
            <w:r>
              <w:t>FATF R.10（Ongoing CDD）</w:t>
            </w:r>
          </w:p>
        </w:tc>
        <w:tc>
          <w:tcPr>
            <w:tcW w:type="dxa" w:w="2880"/>
          </w:tcPr>
          <w:p>
            <w:r>
              <w:t>金融庁GL「継続的顧客管理」</w:t>
            </w:r>
          </w:p>
        </w:tc>
      </w:tr>
    </w:tbl>
    <w:p/>
    <w:p>
      <w:r>
        <w:t>━━━━━━━━━━━━━━━━━━━━━━━━━━━━━━━━━━━━━━━━━━━━━━━━━━</w:t>
      </w:r>
    </w:p>
    <w:p>
      <w:pPr>
        <w:pStyle w:val="Heading2"/>
      </w:pPr>
      <w:r>
        <w:t>📝 関連する試験問題</w:t>
      </w:r>
    </w:p>
    <w:p>
      <w:r>
        <w:t>• CAMS Q26: シェル会社（実体のないペーパーカンパニー）</w:t>
      </w:r>
    </w:p>
    <w:p>
      <w:r>
        <w:t>• CAMS Q60: CDD Trigger Event（取引パターンの変化）</w:t>
      </w:r>
    </w:p>
    <w:p>
      <w:r>
        <w:t>• CAMS Q65: FATF R.10の継続的モニタリング</w:t>
      </w:r>
    </w:p>
    <w:p>
      <w:r>
        <w:t>• CAMS Q69: 取引モニタリングのチューニング</w:t>
      </w:r>
    </w:p>
    <w:p>
      <w:r>
        <w:t>• 日本AML 問6-6: 継続的顧客管理</w:t>
      </w:r>
    </w:p>
    <w:p>
      <w:r>
        <w:t>• 日本AML 問7-2: 疑わしい取引の類型</w:t>
      </w:r>
    </w:p>
    <w:p>
      <w:r>
        <w:t>• 日本AML 問7-3: 取引モニタリング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