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CAMS Q2 — PEP（重要な公的地位を有する者）</w:t>
      </w:r>
    </w:p>
    <w:p>
      <w:r>
        <w:t>Domain 1: ML/TF Risks and Methods | タグ: edd, pep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問題</w:t>
      </w:r>
    </w:p>
    <w:p>
      <w:r>
        <w:t>「重要な公的地位を有する者（PEP）」とは何か。</w:t>
      </w:r>
    </w:p>
    <w:p/>
    <w:p>
      <w:r>
        <w:t>A. 国家元首、上級政治家、司法関係者など、重要な公的職務に就いている、または就いていた個人</w:t>
      </w:r>
    </w:p>
    <w:p>
      <w:r>
        <w:t>B. ソーシャルメディアで有名な人物</w:t>
      </w:r>
    </w:p>
    <w:p>
      <w:r>
        <w:t>C. 政府で働くすべての人物</w:t>
      </w:r>
    </w:p>
    <w:p>
      <w:r>
        <w:t>D. 政治的抗議活動で逮捕された人物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正解: A</w:t>
      </w:r>
    </w:p>
    <w:p>
      <w:pPr>
        <w:pStyle w:val="Heading2"/>
      </w:pPr>
      <w:r>
        <w:t>解説</w:t>
      </w:r>
    </w:p>
    <w:p>
      <w:r>
        <w:t>PEP（Politically Exposed Person）は公的影響力を背景に汚職・贈収賄の機会を有するため高リスクとされる。FATF勧告12が外国PEPに対する厳格な顧客管理（EDD）を求めている。</w:t>
      </w:r>
    </w:p>
    <w:p>
      <w:pPr>
        <w:pStyle w:val="Heading2"/>
      </w:pPr>
      <w:r>
        <w:t>English Version</w:t>
      </w:r>
    </w:p>
    <w:p>
      <w:r>
        <w:t>What is a "Politically Exposed Person" (PEP)?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📚 Q2から広がった関連知識</w:t>
      </w:r>
    </w:p>
    <w:p>
      <w:pPr>
        <w:pStyle w:val="Heading3"/>
      </w:pPr>
      <w:r>
        <w:t>PEP = Politically Exposed Person</w:t>
      </w:r>
    </w:p>
    <w:p>
      <w:r>
        <w:t>覚え方:</w:t>
      </w:r>
    </w:p>
    <w:p>
      <w:r>
        <w:t xml:space="preserve">  P = Politics（政治）</w:t>
      </w:r>
    </w:p>
    <w:p>
      <w:r>
        <w:t xml:space="preserve">  E = Exposed（さらされている）= 権力に近い = 危ない</w:t>
      </w:r>
    </w:p>
    <w:p>
      <w:r>
        <w:t xml:space="preserve">  P = Person（人）</w:t>
      </w:r>
    </w:p>
    <w:p>
      <w:r>
        <w:t xml:space="preserve">  → 「政治に近い→危ない人」</w:t>
      </w:r>
    </w:p>
    <w:p/>
    <w:p>
      <w:r>
        <w:t>PEPの3層:</w:t>
      </w:r>
    </w:p>
    <w:p>
      <w:r>
        <w:t xml:space="preserve">  ① 本人（大臣、裁判官、軍幹部、国営企業幹部等）</w:t>
      </w:r>
    </w:p>
    <w:p>
      <w:r>
        <w:t xml:space="preserve">  ② 家族（配偶者、子、親）</w:t>
      </w:r>
    </w:p>
    <w:p>
      <w:r>
        <w:t xml:space="preserve">  ③ 密接な関係者（ビジネスパートナー等）</w:t>
      </w:r>
    </w:p>
    <w:p>
      <w:r>
        <w:t xml:space="preserve">  → 全員EDD対象！</w:t>
      </w:r>
    </w:p>
    <w:p/>
    <w:p>
      <w:r>
        <w:t>引っ掛けポイント:</w:t>
      </w:r>
    </w:p>
    <w:p>
      <w:r>
        <w:t xml:space="preserve">  ❌「政府で働くすべての人物」→ 全公務員ではなく上級職のみ</w:t>
      </w:r>
    </w:p>
    <w:p>
      <w:r>
        <w:t xml:space="preserve">  ❌ 退任したら即解除 → リスクベースで継続評価が正解</w:t>
      </w:r>
    </w:p>
    <w:p>
      <w:pPr>
        <w:pStyle w:val="Heading3"/>
      </w:pPr>
      <w:r>
        <w:t>「退任したら即解除」が間違いな理由</w:t>
      </w:r>
    </w:p>
    <w:p>
      <w:r>
        <w:t>辞めても「人脈」と「影響力」はすぐには消えないから。</w:t>
      </w:r>
    </w:p>
    <w:p/>
    <w:p>
      <w:r>
        <w:t>退任後もリスクが残る3つの理由: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理由</w:t>
            </w:r>
          </w:p>
        </w:tc>
        <w:tc>
          <w:tcPr>
            <w:tcW w:type="dxa" w:w="4320"/>
          </w:tcPr>
          <w:p>
            <w:r>
              <w:t>具体的に</w:t>
            </w:r>
          </w:p>
        </w:tc>
      </w:tr>
      <w:tr>
        <w:tc>
          <w:tcPr>
            <w:tcW w:type="dxa" w:w="4320"/>
          </w:tcPr>
          <w:p>
            <w:r>
              <w:t>① 影響力が残る</w:t>
            </w:r>
          </w:p>
        </w:tc>
        <w:tc>
          <w:tcPr>
            <w:tcW w:type="dxa" w:w="4320"/>
          </w:tcPr>
          <w:p>
            <w:r>
              <w:t>元大臣でも後任に口が利ける、許認可に影響力がある</w:t>
            </w:r>
          </w:p>
        </w:tc>
      </w:tr>
      <w:tr>
        <w:tc>
          <w:tcPr>
            <w:tcW w:type="dxa" w:w="4320"/>
          </w:tcPr>
          <w:p>
            <w:r>
              <w:t>② 在任中の汚職が退任後に動く</w:t>
            </w:r>
          </w:p>
        </w:tc>
        <w:tc>
          <w:tcPr>
            <w:tcW w:type="dxa" w:w="4320"/>
          </w:tcPr>
          <w:p>
            <w:r>
              <w:t>賄賂を在任中は隠し、退任後に資金を動かすパターン</w:t>
            </w:r>
          </w:p>
        </w:tc>
      </w:tr>
      <w:tr>
        <w:tc>
          <w:tcPr>
            <w:tcW w:type="dxa" w:w="4320"/>
          </w:tcPr>
          <w:p>
            <w:r>
              <w:t>③ 人脈ネットワーク</w:t>
            </w:r>
          </w:p>
        </w:tc>
        <w:tc>
          <w:tcPr>
            <w:tcW w:type="dxa" w:w="4320"/>
          </w:tcPr>
          <w:p>
            <w:r>
              <w:t>政治家仲間・企業幹部との関係は退任で消えない</w:t>
            </w:r>
          </w:p>
        </w:tc>
      </w:tr>
    </w:tbl>
    <w:p/>
    <w:p>
      <w:r>
        <w:t>実務上の対応: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立場</w:t>
            </w:r>
          </w:p>
        </w:tc>
        <w:tc>
          <w:tcPr>
            <w:tcW w:type="dxa" w:w="4320"/>
          </w:tcPr>
          <w:p>
            <w:r>
              <w:t>対応</w:t>
            </w:r>
          </w:p>
        </w:tc>
      </w:tr>
      <w:tr>
        <w:tc>
          <w:tcPr>
            <w:tcW w:type="dxa" w:w="4320"/>
          </w:tcPr>
          <w:p>
            <w:r>
              <w:t>FATF勧告12</w:t>
            </w:r>
          </w:p>
        </w:tc>
        <w:tc>
          <w:tcPr>
            <w:tcW w:type="dxa" w:w="4320"/>
          </w:tcPr>
          <w:p>
            <w:r>
              <w:t>「リスクベースで判断」（具体的期間は指定なし）</w:t>
            </w:r>
          </w:p>
        </w:tc>
      </w:tr>
      <w:tr>
        <w:tc>
          <w:tcPr>
            <w:tcW w:type="dxa" w:w="4320"/>
          </w:tcPr>
          <w:p>
            <w:r>
              <w:t>多くの金融機関</w:t>
            </w:r>
          </w:p>
        </w:tc>
        <w:tc>
          <w:tcPr>
            <w:tcW w:type="dxa" w:w="4320"/>
          </w:tcPr>
          <w:p>
            <w:r>
              <w:t>退任後12〜24ヶ月はEDD継続</w:t>
            </w:r>
          </w:p>
        </w:tc>
      </w:tr>
      <w:tr>
        <w:tc>
          <w:tcPr>
            <w:tcW w:type="dxa" w:w="4320"/>
          </w:tcPr>
          <w:p>
            <w:r>
              <w:t>厳格な銀行</w:t>
            </w:r>
          </w:p>
        </w:tc>
        <w:tc>
          <w:tcPr>
            <w:tcW w:type="dxa" w:w="4320"/>
          </w:tcPr>
          <w:p>
            <w:r>
              <w:t>「once a PEP, always a PEP」で恒久的にEDD</w:t>
            </w:r>
          </w:p>
        </w:tc>
      </w:tr>
    </w:tbl>
    <w:p>
      <w:pPr>
        <w:pStyle w:val="Heading3"/>
      </w:pPr>
      <w:r>
        <w:t>「Once a PEP, Always a PEP」とは</w:t>
      </w:r>
    </w:p>
    <w:p>
      <w:r>
        <w:t>「一度PEPになったら、ずっとPEP」= 退任しても永久にPEPとして扱い続ける最も厳格な立場。</w:t>
      </w:r>
    </w:p>
    <w:p/>
    <w:p>
      <w:r>
        <w:t>ただしFATFの公式見解ではない: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立場</w:t>
            </w:r>
          </w:p>
        </w:tc>
        <w:tc>
          <w:tcPr>
            <w:tcW w:type="dxa" w:w="4320"/>
          </w:tcPr>
          <w:p>
            <w:r>
              <w:t>考え方</w:t>
            </w:r>
          </w:p>
        </w:tc>
      </w:tr>
      <w:tr>
        <w:tc>
          <w:tcPr>
            <w:tcW w:type="dxa" w:w="4320"/>
          </w:tcPr>
          <w:p>
            <w:r>
              <w:t>「Once a PEP, Always a PEP」</w:t>
            </w:r>
          </w:p>
        </w:tc>
        <w:tc>
          <w:tcPr>
            <w:tcW w:type="dxa" w:w="4320"/>
          </w:tcPr>
          <w:p>
            <w:r>
              <w:t>退任しても永久にEDD → 一部の厳格な民間銀行</w:t>
            </w:r>
          </w:p>
        </w:tc>
      </w:tr>
      <w:tr>
        <w:tc>
          <w:tcPr>
            <w:tcW w:type="dxa" w:w="4320"/>
          </w:tcPr>
          <w:p>
            <w:r>
              <w:t>FATF勧告12（公式）</w:t>
            </w:r>
          </w:p>
        </w:tc>
        <w:tc>
          <w:tcPr>
            <w:tcW w:type="dxa" w:w="4320"/>
          </w:tcPr>
          <w:p>
            <w:r>
              <w:t>永久ではなくリスクベースで判断 → FATFの推奨</w:t>
            </w:r>
          </w:p>
        </w:tc>
      </w:tr>
      <w:tr>
        <w:tc>
          <w:tcPr>
            <w:tcW w:type="dxa" w:w="4320"/>
          </w:tcPr>
          <w:p>
            <w:r>
              <w:t>多くの金融機関（実務）</w:t>
            </w:r>
          </w:p>
        </w:tc>
        <w:tc>
          <w:tcPr>
            <w:tcW w:type="dxa" w:w="4320"/>
          </w:tcPr>
          <w:p>
            <w:r>
              <w:t>退任後12〜24ヶ月EDD → 再評価 → 一般的な実務</w:t>
            </w:r>
          </w:p>
        </w:tc>
      </w:tr>
    </w:tbl>
    <w:p/>
    <w:p>
      <w:r>
        <w:t>CAMS試験での正解:</w:t>
      </w:r>
    </w:p>
    <w:p>
      <w:r>
        <w:t xml:space="preserve">  ❌ 「退任後12ヶ月で自動終了」→ 間違い</w:t>
      </w:r>
    </w:p>
    <w:p>
      <w:r>
        <w:t xml:space="preserve">  ❌ 「全員永久EDD」→ これも間違い</w:t>
      </w:r>
    </w:p>
    <w:p>
      <w:r>
        <w:t xml:space="preserve">  ✅ 「リスクベースで継続評価する」→ 正解（Q66で出題）</w:t>
      </w:r>
    </w:p>
    <w:p>
      <w:pPr>
        <w:pStyle w:val="Heading3"/>
      </w:pPr>
      <w:r>
        <w:t>EDD（Enhanced Due Diligence / 厳格な顧客管理）</w:t>
      </w:r>
    </w:p>
    <w:p>
      <w:r>
        <w:t>CDD（顧客管理）の3段階: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SDD（簡素）</w:t>
            </w:r>
          </w:p>
        </w:tc>
        <w:tc>
          <w:tcPr>
            <w:tcW w:type="dxa" w:w="2160"/>
          </w:tcPr>
          <w:p>
            <w:r>
              <w:t>CDD（標準）</w:t>
            </w:r>
          </w:p>
        </w:tc>
        <w:tc>
          <w:tcPr>
            <w:tcW w:type="dxa" w:w="2160"/>
          </w:tcPr>
          <w:p>
            <w:r>
              <w:t>EDD（厳格）</w:t>
            </w:r>
          </w:p>
        </w:tc>
      </w:tr>
      <w:tr>
        <w:tc>
          <w:tcPr>
            <w:tcW w:type="dxa" w:w="2160"/>
          </w:tcPr>
          <w:p>
            <w:r>
              <w:t>正式名</w:t>
            </w:r>
          </w:p>
        </w:tc>
        <w:tc>
          <w:tcPr>
            <w:tcW w:type="dxa" w:w="2160"/>
          </w:tcPr>
          <w:p>
            <w:r>
              <w:t>Simplified Due Diligence</w:t>
            </w:r>
          </w:p>
        </w:tc>
        <w:tc>
          <w:tcPr>
            <w:tcW w:type="dxa" w:w="2160"/>
          </w:tcPr>
          <w:p>
            <w:r>
              <w:t>Customer Due Diligence</w:t>
            </w:r>
          </w:p>
        </w:tc>
        <w:tc>
          <w:tcPr>
            <w:tcW w:type="dxa" w:w="2160"/>
          </w:tcPr>
          <w:p>
            <w:r>
              <w:t>Enhanced Due Diligence</w:t>
            </w:r>
          </w:p>
        </w:tc>
      </w:tr>
      <w:tr>
        <w:tc>
          <w:tcPr>
            <w:tcW w:type="dxa" w:w="2160"/>
          </w:tcPr>
          <w:p>
            <w:r>
              <w:t>対象</w:t>
            </w:r>
          </w:p>
        </w:tc>
        <w:tc>
          <w:tcPr>
            <w:tcW w:type="dxa" w:w="2160"/>
          </w:tcPr>
          <w:p>
            <w:r>
              <w:t>低リスク顧客</w:t>
            </w:r>
          </w:p>
        </w:tc>
        <w:tc>
          <w:tcPr>
            <w:tcW w:type="dxa" w:w="2160"/>
          </w:tcPr>
          <w:p>
            <w:r>
              <w:t>通常の顧客</w:t>
            </w:r>
          </w:p>
        </w:tc>
        <w:tc>
          <w:tcPr>
            <w:tcW w:type="dxa" w:w="2160"/>
          </w:tcPr>
          <w:p>
            <w:r>
              <w:t>高リスク顧客</w:t>
            </w:r>
          </w:p>
        </w:tc>
      </w:tr>
      <w:tr>
        <w:tc>
          <w:tcPr>
            <w:tcW w:type="dxa" w:w="2160"/>
          </w:tcPr>
          <w:p>
            <w:r>
              <w:t>イメージ</w:t>
            </w:r>
          </w:p>
        </w:tc>
        <w:tc>
          <w:tcPr>
            <w:tcW w:type="dxa" w:w="2160"/>
          </w:tcPr>
          <w:p>
            <w:r>
              <w:t>問診だけ</w:t>
            </w:r>
          </w:p>
        </w:tc>
        <w:tc>
          <w:tcPr>
            <w:tcW w:type="dxa" w:w="2160"/>
          </w:tcPr>
          <w:p>
            <w:r>
              <w:t>普通の健康診断</w:t>
            </w:r>
          </w:p>
        </w:tc>
        <w:tc>
          <w:tcPr>
            <w:tcW w:type="dxa" w:w="2160"/>
          </w:tcPr>
          <w:p>
            <w:r>
              <w:t>人間ドック</w:t>
            </w:r>
          </w:p>
        </w:tc>
      </w:tr>
    </w:tbl>
    <w:p/>
    <w:p>
      <w:r>
        <w:t>EDDで追加されること: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CDD（標準）</w:t>
            </w:r>
          </w:p>
        </w:tc>
        <w:tc>
          <w:tcPr>
            <w:tcW w:type="dxa" w:w="2880"/>
          </w:tcPr>
          <w:p>
            <w:r>
              <w:t>EDD（厳格）</w:t>
            </w:r>
          </w:p>
        </w:tc>
      </w:tr>
      <w:tr>
        <w:tc>
          <w:tcPr>
            <w:tcW w:type="dxa" w:w="2880"/>
          </w:tcPr>
          <w:p>
            <w:r>
              <w:t>本人確認</w:t>
            </w:r>
          </w:p>
        </w:tc>
        <w:tc>
          <w:tcPr>
            <w:tcW w:type="dxa" w:w="2880"/>
          </w:tcPr>
          <w:p>
            <w:r>
              <w:t>通常の確認</w:t>
            </w:r>
          </w:p>
        </w:tc>
        <w:tc>
          <w:tcPr>
            <w:tcW w:type="dxa" w:w="2880"/>
          </w:tcPr>
          <w:p>
            <w:r>
              <w:t>より詳細な確認</w:t>
            </w:r>
          </w:p>
        </w:tc>
      </w:tr>
      <w:tr>
        <w:tc>
          <w:tcPr>
            <w:tcW w:type="dxa" w:w="2880"/>
          </w:tcPr>
          <w:p>
            <w:r>
              <w:t>資金源（SoF）</w:t>
            </w:r>
          </w:p>
        </w:tc>
        <w:tc>
          <w:tcPr>
            <w:tcW w:type="dxa" w:w="2880"/>
          </w:tcPr>
          <w:p>
            <w:r>
              <w:t>確認する</w:t>
            </w:r>
          </w:p>
        </w:tc>
        <w:tc>
          <w:tcPr>
            <w:tcW w:type="dxa" w:w="2880"/>
          </w:tcPr>
          <w:p>
            <w:r>
              <w:t>証拠書類で検証</w:t>
            </w:r>
          </w:p>
        </w:tc>
      </w:tr>
      <w:tr>
        <w:tc>
          <w:tcPr>
            <w:tcW w:type="dxa" w:w="2880"/>
          </w:tcPr>
          <w:p>
            <w:r>
              <w:t>財産源（SoW）</w:t>
            </w:r>
          </w:p>
        </w:tc>
        <w:tc>
          <w:tcPr>
            <w:tcW w:type="dxa" w:w="2880"/>
          </w:tcPr>
          <w:p>
            <w:r>
              <w:t>不要なことが多い</w:t>
            </w:r>
          </w:p>
        </w:tc>
        <w:tc>
          <w:tcPr>
            <w:tcW w:type="dxa" w:w="2880"/>
          </w:tcPr>
          <w:p>
            <w:r>
              <w:t>必須（キャリア全体の富の起源）</w:t>
            </w:r>
          </w:p>
        </w:tc>
      </w:tr>
      <w:tr>
        <w:tc>
          <w:tcPr>
            <w:tcW w:type="dxa" w:w="2880"/>
          </w:tcPr>
          <w:p>
            <w:r>
              <w:t>経営陣の承認</w:t>
            </w:r>
          </w:p>
        </w:tc>
        <w:tc>
          <w:tcPr>
            <w:tcW w:type="dxa" w:w="2880"/>
          </w:tcPr>
          <w:p>
            <w:r>
              <w:t>不要</w:t>
            </w:r>
          </w:p>
        </w:tc>
        <w:tc>
          <w:tcPr>
            <w:tcW w:type="dxa" w:w="2880"/>
          </w:tcPr>
          <w:p>
            <w:r>
              <w:t>必要</w:t>
            </w:r>
          </w:p>
        </w:tc>
      </w:tr>
    </w:tbl>
    <w:p/>
    <w:p>
      <w:r>
        <w:t>覚え方:</w:t>
      </w:r>
    </w:p>
    <w:p>
      <w:r>
        <w:t xml:space="preserve">  S = Simplified = Simple = 簡単</w:t>
      </w:r>
    </w:p>
    <w:p>
      <w:r>
        <w:t xml:space="preserve">  C = Customer = 普通（標準）</w:t>
      </w:r>
    </w:p>
    <w:p>
      <w:r>
        <w:t xml:space="preserve">  E = Enhanced = Extra = 特別に厳しい</w:t>
      </w:r>
    </w:p>
    <w:p/>
    <w:p>
      <w:r>
        <w:t>大事な注意点:</w:t>
      </w:r>
    </w:p>
    <w:p>
      <w:r>
        <w:t xml:space="preserve">  ❌ SDDは「確認しなくていい」→ ✅ 最低限のCDDは必要（ゼロにはならない）</w:t>
      </w:r>
    </w:p>
    <w:p>
      <w:r>
        <w:t xml:space="preserve">  ❌ EDDはPEPだけ → ✅ 高リスク国・複雑法人等すべての高リスクに適用</w:t>
      </w:r>
    </w:p>
    <w:p>
      <w:r>
        <w:t xml:space="preserve">  ❌ 最初に決めたら変わらない → ✅ リスク変化でSDD→CDD→EDDに引上げ</w:t>
      </w:r>
    </w:p>
    <w:p/>
    <w:p>
      <w:r>
        <w:t>RBAとの関係:</w:t>
      </w:r>
    </w:p>
    <w:p>
      <w:r>
        <w:t xml:space="preserve">  NRA（国がリスクを評価）→ RBA（リスクに応じて対応を変える）→ SDD/CDD/EDD（具体的な3段階）</w:t>
      </w:r>
    </w:p>
    <w:p>
      <w:r>
        <w:t xml:space="preserve">  → RBAの「具体的な実行手段」がこの3段階</w:t>
      </w:r>
    </w:p>
    <w:p>
      <w:pPr>
        <w:pStyle w:val="Heading3"/>
      </w:pPr>
      <w:r>
        <w:t>FATF勧告10（R.10）= 顧客管理のルール</w:t>
      </w:r>
    </w:p>
    <w:p>
      <w:r>
        <w:t>「顧客を知れ（Know Your Customer）」の国際ルール。CDD/KYCに関する最も重要な勧告。</w:t>
      </w:r>
    </w:p>
    <w:p/>
    <w:p>
      <w:r>
        <w:t>R.10が求める4つのこと: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番号</w:t>
            </w:r>
          </w:p>
        </w:tc>
        <w:tc>
          <w:tcPr>
            <w:tcW w:type="dxa" w:w="2880"/>
          </w:tcPr>
          <w:p>
            <w:r>
              <w:t>やること</w:t>
            </w:r>
          </w:p>
        </w:tc>
        <w:tc>
          <w:tcPr>
            <w:tcW w:type="dxa" w:w="2880"/>
          </w:tcPr>
          <w:p>
            <w:r>
              <w:t>日本の対応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顧客の身元確認</w:t>
            </w:r>
          </w:p>
        </w:tc>
        <w:tc>
          <w:tcPr>
            <w:tcW w:type="dxa" w:w="2880"/>
          </w:tcPr>
          <w:p>
            <w:r>
              <w:t>犯収法の「本人特定事項の確認」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UBO（実質的支配者）の特定</w:t>
            </w:r>
          </w:p>
        </w:tc>
        <w:tc>
          <w:tcPr>
            <w:tcW w:type="dxa" w:w="2880"/>
          </w:tcPr>
          <w:p>
            <w:r>
              <w:t>犯収法の「実質的支配者の確認」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取引目的の把握</w:t>
            </w:r>
          </w:p>
        </w:tc>
        <w:tc>
          <w:tcPr>
            <w:tcW w:type="dxa" w:w="2880"/>
          </w:tcPr>
          <w:p>
            <w:r>
              <w:t>犯収法の「取引目的の確認」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継続的モニタリング</w:t>
            </w:r>
          </w:p>
        </w:tc>
        <w:tc>
          <w:tcPr>
            <w:tcW w:type="dxa" w:w="2880"/>
          </w:tcPr>
          <w:p>
            <w:r>
              <w:t>金融庁GLの「継続的顧客管理」</w:t>
            </w:r>
          </w:p>
        </w:tc>
      </w:tr>
    </w:tbl>
    <w:p/>
    <w:p>
      <w:r>
        <w:t>R.10とSDD/CDD/EDDの関係:</w:t>
      </w:r>
    </w:p>
    <w:p>
      <w:r>
        <w:t xml:space="preserve">  R.10の中に「リスクに応じた対応の幅」が書かれている</w:t>
      </w:r>
    </w:p>
    <w:p>
      <w:r>
        <w:t xml:space="preserve">  → R.10が「3段階を使い分けてよい」と許可している根拠</w:t>
      </w:r>
    </w:p>
    <w:p/>
    <w:p>
      <w:r>
        <w:t>主要勧告の役割分担: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勧告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覚え方</w:t>
            </w:r>
          </w:p>
        </w:tc>
      </w:tr>
      <w:tr>
        <w:tc>
          <w:tcPr>
            <w:tcW w:type="dxa" w:w="2880"/>
          </w:tcPr>
          <w:p>
            <w:r>
              <w:t>R.1</w:t>
            </w:r>
          </w:p>
        </w:tc>
        <w:tc>
          <w:tcPr>
            <w:tcW w:type="dxa" w:w="2880"/>
          </w:tcPr>
          <w:p>
            <w:r>
              <w:t>リスク評価・RBA</w:t>
            </w:r>
          </w:p>
        </w:tc>
        <w:tc>
          <w:tcPr>
            <w:tcW w:type="dxa" w:w="2880"/>
          </w:tcPr>
          <w:p>
            <w:r>
              <w:t>「まずリスクを知れ」</w:t>
            </w:r>
          </w:p>
        </w:tc>
      </w:tr>
      <w:tr>
        <w:tc>
          <w:tcPr>
            <w:tcW w:type="dxa" w:w="2880"/>
          </w:tcPr>
          <w:p>
            <w:r>
              <w:t>R.10</w:t>
            </w:r>
          </w:p>
        </w:tc>
        <w:tc>
          <w:tcPr>
            <w:tcW w:type="dxa" w:w="2880"/>
          </w:tcPr>
          <w:p>
            <w:r>
              <w:t>CDD（顧客管理）</w:t>
            </w:r>
          </w:p>
        </w:tc>
        <w:tc>
          <w:tcPr>
            <w:tcW w:type="dxa" w:w="2880"/>
          </w:tcPr>
          <w:p>
            <w:r>
              <w:t>「顧客を知れ」</w:t>
            </w:r>
          </w:p>
        </w:tc>
      </w:tr>
      <w:tr>
        <w:tc>
          <w:tcPr>
            <w:tcW w:type="dxa" w:w="2880"/>
          </w:tcPr>
          <w:p>
            <w:r>
              <w:t>R.12</w:t>
            </w:r>
          </w:p>
        </w:tc>
        <w:tc>
          <w:tcPr>
            <w:tcW w:type="dxa" w:w="2880"/>
          </w:tcPr>
          <w:p>
            <w:r>
              <w:t>PEPへのEDD</w:t>
            </w:r>
          </w:p>
        </w:tc>
        <w:tc>
          <w:tcPr>
            <w:tcW w:type="dxa" w:w="2880"/>
          </w:tcPr>
          <w:p>
            <w:r>
              <w:t>「偉い人は特に調べろ」</w:t>
            </w:r>
          </w:p>
        </w:tc>
      </w:tr>
      <w:tr>
        <w:tc>
          <w:tcPr>
            <w:tcW w:type="dxa" w:w="2880"/>
          </w:tcPr>
          <w:p>
            <w:r>
              <w:t>R.20</w:t>
            </w:r>
          </w:p>
        </w:tc>
        <w:tc>
          <w:tcPr>
            <w:tcW w:type="dxa" w:w="2880"/>
          </w:tcPr>
          <w:p>
            <w:r>
              <w:t>疑わしい取引の届出</w:t>
            </w:r>
          </w:p>
        </w:tc>
        <w:tc>
          <w:tcPr>
            <w:tcW w:type="dxa" w:w="2880"/>
          </w:tcPr>
          <w:p>
            <w:r>
              <w:t>「怪しかったら届け出ろ」</w:t>
            </w:r>
          </w:p>
        </w:tc>
      </w:tr>
    </w:tbl>
    <w:p/>
    <w:p>
      <w:r>
        <w:t>覚え方:</w:t>
      </w:r>
    </w:p>
    <w:p>
      <w:r>
        <w:t xml:space="preserve">  R.1 = リスクを知れ（国レベル）</w:t>
      </w:r>
    </w:p>
    <w:p>
      <w:r>
        <w:t xml:space="preserve">  R.10 = 顧客を知れ（個別レベル）</w:t>
      </w:r>
    </w:p>
    <w:p>
      <w:r>
        <w:t xml:space="preserve">  1は国、10は顧客。どちらも「知れ」がスタート。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🔗 CAMS × 日本AML 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CAMS</w:t>
            </w:r>
          </w:p>
        </w:tc>
        <w:tc>
          <w:tcPr>
            <w:tcW w:type="dxa" w:w="2880"/>
          </w:tcPr>
          <w:p>
            <w:r>
              <w:t>日本AML</w:t>
            </w:r>
          </w:p>
        </w:tc>
      </w:tr>
      <w:tr>
        <w:tc>
          <w:tcPr>
            <w:tcW w:type="dxa" w:w="2880"/>
          </w:tcPr>
          <w:p>
            <w:r>
              <w:t>PEP定義の根拠</w:t>
            </w:r>
          </w:p>
        </w:tc>
        <w:tc>
          <w:tcPr>
            <w:tcW w:type="dxa" w:w="2880"/>
          </w:tcPr>
          <w:p>
            <w:r>
              <w:t>FATF勧告12</w:t>
            </w:r>
          </w:p>
        </w:tc>
        <w:tc>
          <w:tcPr>
            <w:tcW w:type="dxa" w:w="2880"/>
          </w:tcPr>
          <w:p>
            <w:r>
              <w:t>犯収法施行令12条</w:t>
            </w:r>
          </w:p>
        </w:tc>
      </w:tr>
      <w:tr>
        <w:tc>
          <w:tcPr>
            <w:tcW w:type="dxa" w:w="2880"/>
          </w:tcPr>
          <w:p>
            <w:r>
              <w:t>PEPの区分</w:t>
            </w:r>
          </w:p>
        </w:tc>
        <w:tc>
          <w:tcPr>
            <w:tcW w:type="dxa" w:w="2880"/>
          </w:tcPr>
          <w:p>
            <w:r>
              <w:t>外国PEP（必須EDD）＋国内PEP（リスクに応じ）</w:t>
            </w:r>
          </w:p>
        </w:tc>
        <w:tc>
          <w:tcPr>
            <w:tcW w:type="dxa" w:w="2880"/>
          </w:tcPr>
          <w:p>
            <w:r>
              <w:t>外国PEPのみ法令上の厳格確認対象</w:t>
            </w:r>
          </w:p>
        </w:tc>
      </w:tr>
      <w:tr>
        <w:tc>
          <w:tcPr>
            <w:tcW w:type="dxa" w:w="2880"/>
          </w:tcPr>
          <w:p>
            <w:r>
              <w:t>日本の違い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国内PEPを犯収法では明示規定なし（金融庁GLで推奨）</w:t>
            </w:r>
          </w:p>
        </w:tc>
      </w:tr>
      <w:tr>
        <w:tc>
          <w:tcPr>
            <w:tcW w:type="dxa" w:w="2880"/>
          </w:tcPr>
          <w:p>
            <w:r>
              <w:t>CDD/EDD根拠</w:t>
            </w:r>
          </w:p>
        </w:tc>
        <w:tc>
          <w:tcPr>
            <w:tcW w:type="dxa" w:w="2880"/>
          </w:tcPr>
          <w:p>
            <w:r>
              <w:t>FATF勧告10/12</w:t>
            </w:r>
          </w:p>
        </w:tc>
        <w:tc>
          <w:tcPr>
            <w:tcW w:type="dxa" w:w="2880"/>
          </w:tcPr>
          <w:p>
            <w:r>
              <w:t>犯収法の取引時確認 + 金融庁GL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📝 関連する試験問題</w:t>
      </w:r>
    </w:p>
    <w:p>
      <w:r>
        <w:t>• CAMS Q13: Private Banking PEPのEDD（SoW + SoF + 経営陣承認）</w:t>
      </w:r>
    </w:p>
    <w:p>
      <w:r>
        <w:t>• CAMS Q62: EDDはPEPだけか？ → False（全高リスクに適用）</w:t>
      </w:r>
    </w:p>
    <w:p>
      <w:r>
        <w:t>• CAMS Q64: Wolfsberg PB EDDシナリオ</w:t>
      </w:r>
    </w:p>
    <w:p>
      <w:r>
        <w:t>• CAMS Q66: PEP退任後の継続評価（Once a PEP問題）</w:t>
      </w:r>
    </w:p>
    <w:p>
      <w:r>
        <w:t>• CAMS Q68: SoF vs SoWの区別</w:t>
      </w:r>
    </w:p>
    <w:p>
      <w:r>
        <w:t>• CAMS Q61: Basel KYC 4要素</w:t>
      </w:r>
    </w:p>
    <w:p>
      <w:r>
        <w:t>• CAMS Q65: FATF R.10の継続的モニタリング</w:t>
      </w:r>
    </w:p>
    <w:p>
      <w:r>
        <w:t>• 日本AML 問6-1: CDD/EDD/SDDの関係</w:t>
      </w:r>
    </w:p>
    <w:p>
      <w:r>
        <w:t>• 日本AML 問6-5: PEPsにはEDDが必要</w:t>
      </w:r>
    </w:p>
    <w:p>
      <w:r>
        <w:t>• 日本AML 問6-6: 継続的顧客管理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