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CAMS Q11 — コルレス銀行のデューデリジェンス</w:t>
      </w:r>
    </w:p>
    <w:p>
      <w:r>
        <w:t>Domain 1: ML/TF Risks and Methods | タグ: correspondent, us-law</w:t>
      </w:r>
    </w:p>
    <w:p>
      <w:r>
        <w:t>━━━━━━━━━━━━━━━━━━━━━━━━━━━━━━━━━━━━━━━━━━━━━━━━━━</w:t>
      </w:r>
    </w:p>
    <w:p>
      <w:pPr>
        <w:pStyle w:val="Heading2"/>
      </w:pPr>
      <w:r>
        <w:t>問題</w:t>
      </w:r>
    </w:p>
    <w:p>
      <w:r>
        <w:t>米国銀行が高リスク管轄地に所在する外国コルレス銀行と関係を構築しようとしている。USA PATRIOT法およびウォルフスバーグ・グループのガイダンスの下、口座開設前に求められる最も重要なデューデリジェンス要件は次のうちどれか。</w:t>
      </w:r>
    </w:p>
    <w:p/>
    <w:p>
      <w:r>
        <w:t>A. コルレス銀行がシェルバンクでないことの確認と、所有者およびAML統制の把握</w:t>
      </w:r>
    </w:p>
    <w:p>
      <w:r>
        <w:t>B. 遵法に関するコルレス銀行CEOからの書面保証の取得</w:t>
      </w:r>
    </w:p>
    <w:p>
      <w:r>
        <w:t>C. コルレス銀行に対し最低100万米ドルの担保預金を求めること</w:t>
      </w:r>
    </w:p>
    <w:p>
      <w:r>
        <w:t>D. 年1回以上のコルレス銀行本店への実地訪問</w:t>
      </w:r>
    </w:p>
    <w:p>
      <w:r>
        <w:t>━━━━━━━━━━━━━━━━━━━━━━━━━━━━━━━━━━━━━━━━━━━━━━━━━━</w:t>
      </w:r>
    </w:p>
    <w:p>
      <w:pPr>
        <w:pStyle w:val="Heading2"/>
      </w:pPr>
      <w:r>
        <w:t>正解: A</w:t>
      </w:r>
    </w:p>
    <w:p>
      <w:pPr>
        <w:pStyle w:val="Heading2"/>
      </w:pPr>
      <w:r>
        <w:t>解説</w:t>
      </w:r>
    </w:p>
    <w:p>
      <w:r>
        <w:t>USA PATRIOT Act §312は、外国コルレス口座に対し強化デューデリジェンスを義務付け、所有関係の把握、コルレス銀行のAMLプログラムの評価、シェルバンクでないことの確認（第313条はシェルバンクとのコルレス関係を禁止）を要求する。CEO保証・担保・年次訪問は規制上の最低要件ではない。</w:t>
      </w:r>
    </w:p>
    <w:p>
      <w:pPr>
        <w:pStyle w:val="Heading2"/>
      </w:pPr>
      <w:r>
        <w:t>English Version</w:t>
      </w:r>
    </w:p>
    <w:p>
      <w:r>
        <w:t>A US bank is establishing a correspondent banking relationship with a foreign respondent bank located in a high-risk jurisdiction. Under the USA PATRIOT Act and Wolfsberg Group guidance, which of the following is the MOST critical due diligence requirement before opening the account?</w:t>
      </w:r>
    </w:p>
    <w:p>
      <w:r>
        <w:t>━━━━━━━━━━━━━━━━━━━━━━━━━━━━━━━━━━━━━━━━━━━━━━━━━━</w:t>
      </w:r>
    </w:p>
    <w:p>
      <w:pPr>
        <w:pStyle w:val="Heading2"/>
      </w:pPr>
      <w:r>
        <w:t>📚 Q11から広がった関連知識</w:t>
      </w:r>
    </w:p>
    <w:p>
      <w:pPr>
        <w:pStyle w:val="Heading3"/>
      </w:pPr>
      <w:r>
        <w:t>デューデリジェンスの本質 = 「自分で調べろ」</w:t>
      </w:r>
    </w:p>
    <w:tbl>
      <w:tblPr>
        <w:tblStyle w:val="TableGrid"/>
        <w:tblW w:type="auto" w:w="0"/>
        <w:tblLook w:firstColumn="1" w:firstRow="1" w:lastColumn="0" w:lastRow="0" w:noHBand="0" w:noVBand="1" w:val="04A0"/>
      </w:tblPr>
      <w:tblGrid>
        <w:gridCol w:w="2880"/>
        <w:gridCol w:w="2880"/>
        <w:gridCol w:w="2880"/>
      </w:tblGrid>
      <w:tr>
        <w:tc>
          <w:tcPr>
            <w:tcW w:type="dxa" w:w="2880"/>
          </w:tcPr>
          <w:p>
            <w:r>
              <w:t>やり方</w:t>
            </w:r>
          </w:p>
        </w:tc>
        <w:tc>
          <w:tcPr>
            <w:tcW w:type="dxa" w:w="2880"/>
          </w:tcPr>
          <w:p>
            <w:r>
              <w:t>評価</w:t>
            </w:r>
          </w:p>
        </w:tc>
        <w:tc>
          <w:tcPr>
            <w:tcW w:type="dxa" w:w="2880"/>
          </w:tcPr>
          <w:p>
            <w:r>
              <w:t>理由</w:t>
            </w:r>
          </w:p>
        </w:tc>
      </w:tr>
      <w:tr>
        <w:tc>
          <w:tcPr>
            <w:tcW w:type="dxa" w:w="2880"/>
          </w:tcPr>
          <w:p>
            <w:r>
              <w:t>❌ CEOの「大丈夫です」を信じる</w:t>
            </w:r>
          </w:p>
        </w:tc>
        <w:tc>
          <w:tcPr>
            <w:tcW w:type="dxa" w:w="2880"/>
          </w:tcPr>
          <w:p>
            <w:r>
              <w:t>不十分</w:t>
            </w:r>
          </w:p>
        </w:tc>
        <w:tc>
          <w:tcPr>
            <w:tcW w:type="dxa" w:w="2880"/>
          </w:tcPr>
          <w:p>
            <w:r>
              <w:t>自己申告にすぎない</w:t>
            </w:r>
          </w:p>
        </w:tc>
      </w:tr>
      <w:tr>
        <w:tc>
          <w:tcPr>
            <w:tcW w:type="dxa" w:w="2880"/>
          </w:tcPr>
          <w:p>
            <w:r>
              <w:t>✅ シェルバンクでないか自分で確認</w:t>
            </w:r>
          </w:p>
        </w:tc>
        <w:tc>
          <w:tcPr>
            <w:tcW w:type="dxa" w:w="2880"/>
          </w:tcPr>
          <w:p>
            <w:r>
              <w:t>義務</w:t>
            </w:r>
          </w:p>
        </w:tc>
        <w:tc>
          <w:tcPr>
            <w:tcW w:type="dxa" w:w="2880"/>
          </w:tcPr>
          <w:p>
            <w:r>
              <w:t>§312/§313の要件</w:t>
            </w:r>
          </w:p>
        </w:tc>
      </w:tr>
      <w:tr>
        <w:tc>
          <w:tcPr>
            <w:tcW w:type="dxa" w:w="2880"/>
          </w:tcPr>
          <w:p>
            <w:r>
              <w:t>✅ 所有者が誰か自分で把握</w:t>
            </w:r>
          </w:p>
        </w:tc>
        <w:tc>
          <w:tcPr>
            <w:tcW w:type="dxa" w:w="2880"/>
          </w:tcPr>
          <w:p>
            <w:r>
              <w:t>義務</w:t>
            </w:r>
          </w:p>
        </w:tc>
        <w:tc>
          <w:tcPr>
            <w:tcW w:type="dxa" w:w="2880"/>
          </w:tcPr>
          <w:p>
            <w:r>
              <w:t>§312の要件</w:t>
            </w:r>
          </w:p>
        </w:tc>
      </w:tr>
      <w:tr>
        <w:tc>
          <w:tcPr>
            <w:tcW w:type="dxa" w:w="2880"/>
          </w:tcPr>
          <w:p>
            <w:r>
              <w:t>✅ AML統制が機能しているか自分で検証</w:t>
            </w:r>
          </w:p>
        </w:tc>
        <w:tc>
          <w:tcPr>
            <w:tcW w:type="dxa" w:w="2880"/>
          </w:tcPr>
          <w:p>
            <w:r>
              <w:t>義務</w:t>
            </w:r>
          </w:p>
        </w:tc>
        <w:tc>
          <w:tcPr>
            <w:tcW w:type="dxa" w:w="2880"/>
          </w:tcPr>
          <w:p>
            <w:r>
              <w:t>§312の要件</w:t>
            </w:r>
          </w:p>
        </w:tc>
      </w:tr>
    </w:tbl>
    <w:p/>
    <w:p>
      <w:r>
        <w:t>AML全体に共通する原則: 「相手を信じるな、自分で確認しろ」</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Q</w:t>
            </w:r>
          </w:p>
        </w:tc>
        <w:tc>
          <w:tcPr>
            <w:tcW w:type="dxa" w:w="2160"/>
          </w:tcPr>
          <w:p>
            <w:r>
              <w:t>相手</w:t>
            </w:r>
          </w:p>
        </w:tc>
        <w:tc>
          <w:tcPr>
            <w:tcW w:type="dxa" w:w="2160"/>
          </w:tcPr>
          <w:p>
            <w:r>
              <w:t>信じない</w:t>
            </w:r>
          </w:p>
        </w:tc>
        <w:tc>
          <w:tcPr>
            <w:tcW w:type="dxa" w:w="2160"/>
          </w:tcPr>
          <w:p>
            <w:r>
              <w:t>自分で確認する</w:t>
            </w:r>
          </w:p>
        </w:tc>
      </w:tr>
      <w:tr>
        <w:tc>
          <w:tcPr>
            <w:tcW w:type="dxa" w:w="2160"/>
          </w:tcPr>
          <w:p>
            <w:r>
              <w:t>Q6</w:t>
            </w:r>
          </w:p>
        </w:tc>
        <w:tc>
          <w:tcPr>
            <w:tcW w:type="dxa" w:w="2160"/>
          </w:tcPr>
          <w:p>
            <w:r>
              <w:t>顧客</w:t>
            </w:r>
          </w:p>
        </w:tc>
        <w:tc>
          <w:tcPr>
            <w:tcW w:type="dxa" w:w="2160"/>
          </w:tcPr>
          <w:p>
            <w:r>
              <w:t>倉庫の写真</w:t>
            </w:r>
          </w:p>
        </w:tc>
        <w:tc>
          <w:tcPr>
            <w:tcW w:type="dxa" w:w="2160"/>
          </w:tcPr>
          <w:p>
            <w:r>
              <w:t>第三者の検査証明書</w:t>
            </w:r>
          </w:p>
        </w:tc>
      </w:tr>
      <w:tr>
        <w:tc>
          <w:tcPr>
            <w:tcW w:type="dxa" w:w="2160"/>
          </w:tcPr>
          <w:p>
            <w:r>
              <w:t>Q8</w:t>
            </w:r>
          </w:p>
        </w:tc>
        <w:tc>
          <w:tcPr>
            <w:tcW w:type="dxa" w:w="2160"/>
          </w:tcPr>
          <w:p>
            <w:r>
              <w:t>顧客</w:t>
            </w:r>
          </w:p>
        </w:tc>
        <w:tc>
          <w:tcPr>
            <w:tcW w:type="dxa" w:w="2160"/>
          </w:tcPr>
          <w:p>
            <w:r>
              <w:t>「スクラップ金属業」の申告</w:t>
            </w:r>
          </w:p>
        </w:tc>
        <w:tc>
          <w:tcPr>
            <w:tcW w:type="dxa" w:w="2160"/>
          </w:tcPr>
          <w:p>
            <w:r>
              <w:t>実際の取引パターン</w:t>
            </w:r>
          </w:p>
        </w:tc>
      </w:tr>
      <w:tr>
        <w:tc>
          <w:tcPr>
            <w:tcW w:type="dxa" w:w="2160"/>
          </w:tcPr>
          <w:p>
            <w:r>
              <w:t>Q11</w:t>
            </w:r>
          </w:p>
        </w:tc>
        <w:tc>
          <w:tcPr>
            <w:tcW w:type="dxa" w:w="2160"/>
          </w:tcPr>
          <w:p>
            <w:r>
              <w:t>銀行</w:t>
            </w:r>
          </w:p>
        </w:tc>
        <w:tc>
          <w:tcPr>
            <w:tcW w:type="dxa" w:w="2160"/>
          </w:tcPr>
          <w:p>
            <w:r>
              <w:t>CEOの書面保証</w:t>
            </w:r>
          </w:p>
        </w:tc>
        <w:tc>
          <w:tcPr>
            <w:tcW w:type="dxa" w:w="2160"/>
          </w:tcPr>
          <w:p>
            <w:r>
              <w:t>シェルバンク確認・AML統制検証</w:t>
            </w:r>
          </w:p>
        </w:tc>
      </w:tr>
    </w:tbl>
    <w:p/>
    <w:p>
      <w:r>
        <w:t>→ 相手が個人でも法人でも銀行でも、原則は同じ</w:t>
      </w:r>
    </w:p>
    <w:p/>
    <w:p>
      <w:pPr>
        <w:pStyle w:val="Heading3"/>
      </w:pPr>
      <w:r>
        <w:t>CAMSの引っ掛け：「良いこと」vs「義務」</w:t>
      </w:r>
    </w:p>
    <w:tbl>
      <w:tblPr>
        <w:tblStyle w:val="TableGrid"/>
        <w:tblW w:type="auto" w:w="0"/>
        <w:tblLook w:firstColumn="1" w:firstRow="1" w:lastColumn="0" w:lastRow="0" w:noHBand="0" w:noVBand="1" w:val="04A0"/>
      </w:tblPr>
      <w:tblGrid>
        <w:gridCol w:w="2880"/>
        <w:gridCol w:w="2880"/>
        <w:gridCol w:w="2880"/>
      </w:tblGrid>
      <w:tr>
        <w:tc>
          <w:tcPr>
            <w:tcW w:type="dxa" w:w="2880"/>
          </w:tcPr>
          <w:p>
            <w:r>
              <w:t>選択肢</w:t>
            </w:r>
          </w:p>
        </w:tc>
        <w:tc>
          <w:tcPr>
            <w:tcW w:type="dxa" w:w="2880"/>
          </w:tcPr>
          <w:p>
            <w:r>
              <w:t>Must（義務）？</w:t>
            </w:r>
          </w:p>
        </w:tc>
        <w:tc>
          <w:tcPr>
            <w:tcW w:type="dxa" w:w="2880"/>
          </w:tcPr>
          <w:p>
            <w:r>
              <w:t>根拠</w:t>
            </w:r>
          </w:p>
        </w:tc>
      </w:tr>
      <w:tr>
        <w:tc>
          <w:tcPr>
            <w:tcW w:type="dxa" w:w="2880"/>
          </w:tcPr>
          <w:p>
            <w:r>
              <w:t>A. シェルバンク確認 + 所有者 + AML統制</w:t>
            </w:r>
          </w:p>
        </w:tc>
        <w:tc>
          <w:tcPr>
            <w:tcW w:type="dxa" w:w="2880"/>
          </w:tcPr>
          <w:p>
            <w:r>
              <w:t>✅ Must</w:t>
            </w:r>
          </w:p>
        </w:tc>
        <w:tc>
          <w:tcPr>
            <w:tcW w:type="dxa" w:w="2880"/>
          </w:tcPr>
          <w:p>
            <w:r>
              <w:t>§312/§313に明文規定</w:t>
            </w:r>
          </w:p>
        </w:tc>
      </w:tr>
      <w:tr>
        <w:tc>
          <w:tcPr>
            <w:tcW w:type="dxa" w:w="2880"/>
          </w:tcPr>
          <w:p>
            <w:r>
              <w:t>B. CEOの書面保証</w:t>
            </w:r>
          </w:p>
        </w:tc>
        <w:tc>
          <w:tcPr>
            <w:tcW w:type="dxa" w:w="2880"/>
          </w:tcPr>
          <w:p>
            <w:r>
              <w:t>❌</w:t>
            </w:r>
          </w:p>
        </w:tc>
        <w:tc>
          <w:tcPr>
            <w:tcW w:type="dxa" w:w="2880"/>
          </w:tcPr>
          <w:p>
            <w:r>
              <w:t>どの法律にも規定なし</w:t>
            </w:r>
          </w:p>
        </w:tc>
      </w:tr>
      <w:tr>
        <w:tc>
          <w:tcPr>
            <w:tcW w:type="dxa" w:w="2880"/>
          </w:tcPr>
          <w:p>
            <w:r>
              <w:t>C. 100万ドルの担保</w:t>
            </w:r>
          </w:p>
        </w:tc>
        <w:tc>
          <w:tcPr>
            <w:tcW w:type="dxa" w:w="2880"/>
          </w:tcPr>
          <w:p>
            <w:r>
              <w:t>❌</w:t>
            </w:r>
          </w:p>
        </w:tc>
        <w:tc>
          <w:tcPr>
            <w:tcW w:type="dxa" w:w="2880"/>
          </w:tcPr>
          <w:p>
            <w:r>
              <w:t>どの法律にも規定なし</w:t>
            </w:r>
          </w:p>
        </w:tc>
      </w:tr>
      <w:tr>
        <w:tc>
          <w:tcPr>
            <w:tcW w:type="dxa" w:w="2880"/>
          </w:tcPr>
          <w:p>
            <w:r>
              <w:t>D. 年1回の実地訪問</w:t>
            </w:r>
          </w:p>
        </w:tc>
        <w:tc>
          <w:tcPr>
            <w:tcW w:type="dxa" w:w="2880"/>
          </w:tcPr>
          <w:p>
            <w:r>
              <w:t>❌</w:t>
            </w:r>
          </w:p>
        </w:tc>
        <w:tc>
          <w:tcPr>
            <w:tcW w:type="dxa" w:w="2880"/>
          </w:tcPr>
          <w:p>
            <w:r>
              <w:t>望ましいが法的義務ではない</w:t>
            </w:r>
          </w:p>
        </w:tc>
      </w:tr>
    </w:tbl>
    <w:p/>
    <w:p>
      <w:r>
        <w:t>判断のキーワード:</w:t>
      </w:r>
    </w:p>
    <w:p>
      <w:r>
        <w:t xml:space="preserve">  required（求められる）= 法的義務 → ✅ 正解になりやすい</w:t>
      </w:r>
    </w:p>
    <w:p>
      <w:r>
        <w:t xml:space="preserve">  recommended（推奨される）= ベストプラクティス → ❌ 正解になりにくい</w:t>
      </w:r>
    </w:p>
    <w:p/>
    <w:p>
      <w:r>
        <w:t>覚え方: 「やったほうがいい」≠「やらなきゃダメ」。CAMSは「やらなきゃダメ」を聞いている。</w:t>
      </w:r>
    </w:p>
    <w:p/>
    <w:p>
      <w:pPr>
        <w:pStyle w:val="Heading3"/>
      </w:pPr>
      <w:r>
        <w:t>USA PATRIOT Act §311〜§314（コルレス関連）</w:t>
      </w:r>
    </w:p>
    <w:tbl>
      <w:tblPr>
        <w:tblStyle w:val="TableGrid"/>
        <w:tblW w:type="auto" w:w="0"/>
        <w:tblLook w:firstColumn="1" w:firstRow="1" w:lastColumn="0" w:lastRow="0" w:noHBand="0" w:noVBand="1" w:val="04A0"/>
      </w:tblPr>
      <w:tblGrid>
        <w:gridCol w:w="2880"/>
        <w:gridCol w:w="2880"/>
        <w:gridCol w:w="2880"/>
      </w:tblGrid>
      <w:tr>
        <w:tc>
          <w:tcPr>
            <w:tcW w:type="dxa" w:w="2880"/>
          </w:tcPr>
          <w:p>
            <w:r>
              <w:t>条文</w:t>
            </w:r>
          </w:p>
        </w:tc>
        <w:tc>
          <w:tcPr>
            <w:tcW w:type="dxa" w:w="2880"/>
          </w:tcPr>
          <w:p>
            <w:r>
              <w:t>内容</w:t>
            </w:r>
          </w:p>
        </w:tc>
        <w:tc>
          <w:tcPr>
            <w:tcW w:type="dxa" w:w="2880"/>
          </w:tcPr>
          <w:p>
            <w:r>
              <w:t>この問題との関係</w:t>
            </w:r>
          </w:p>
        </w:tc>
      </w:tr>
      <w:tr>
        <w:tc>
          <w:tcPr>
            <w:tcW w:type="dxa" w:w="2880"/>
          </w:tcPr>
          <w:p>
            <w:r>
              <w:t>§312</w:t>
            </w:r>
          </w:p>
        </w:tc>
        <w:tc>
          <w:tcPr>
            <w:tcW w:type="dxa" w:w="2880"/>
          </w:tcPr>
          <w:p>
            <w:r>
              <w:t>コルレス銀行/PBのEDD</w:t>
            </w:r>
          </w:p>
        </w:tc>
        <w:tc>
          <w:tcPr>
            <w:tcW w:type="dxa" w:w="2880"/>
          </w:tcPr>
          <w:p>
            <w:r>
              <w:t>← Q11はこれ（法的義務）</w:t>
            </w:r>
          </w:p>
        </w:tc>
      </w:tr>
      <w:tr>
        <w:tc>
          <w:tcPr>
            <w:tcW w:type="dxa" w:w="2880"/>
          </w:tcPr>
          <w:p>
            <w:r>
              <w:t>§313</w:t>
            </w:r>
          </w:p>
        </w:tc>
        <w:tc>
          <w:tcPr>
            <w:tcW w:type="dxa" w:w="2880"/>
          </w:tcPr>
          <w:p>
            <w:r>
              <w:t>シェルバンクとのコルレス禁止</w:t>
            </w:r>
          </w:p>
        </w:tc>
        <w:tc>
          <w:tcPr>
            <w:tcW w:type="dxa" w:w="2880"/>
          </w:tcPr>
          <w:p>
            <w:r>
              <w:t>選択肢Aの「シェルバンクでないか確認」の根拠</w:t>
            </w:r>
          </w:p>
        </w:tc>
      </w:tr>
      <w:tr>
        <w:tc>
          <w:tcPr>
            <w:tcW w:type="dxa" w:w="2880"/>
          </w:tcPr>
          <w:p>
            <w:r>
              <w:t>§311</w:t>
            </w:r>
          </w:p>
        </w:tc>
        <w:tc>
          <w:tcPr>
            <w:tcW w:type="dxa" w:w="2880"/>
          </w:tcPr>
          <w:p>
            <w:r>
              <w:t>Special Measures</w:t>
            </w:r>
          </w:p>
        </w:tc>
        <w:tc>
          <w:tcPr>
            <w:tcW w:type="dxa" w:w="2880"/>
          </w:tcPr>
          <w:p>
            <w:r>
              <w:t>Q45, Q63で出題</w:t>
            </w:r>
          </w:p>
        </w:tc>
      </w:tr>
      <w:tr>
        <w:tc>
          <w:tcPr>
            <w:tcW w:type="dxa" w:w="2880"/>
          </w:tcPr>
          <w:p>
            <w:r>
              <w:t>§314</w:t>
            </w:r>
          </w:p>
        </w:tc>
        <w:tc>
          <w:tcPr>
            <w:tcW w:type="dxa" w:w="2880"/>
          </w:tcPr>
          <w:p>
            <w:r>
              <w:t>情報共有</w:t>
            </w:r>
          </w:p>
        </w:tc>
        <w:tc>
          <w:tcPr>
            <w:tcW w:type="dxa" w:w="2880"/>
          </w:tcPr>
          <w:p>
            <w:r>
              <w:t>Q80で出題</w:t>
            </w:r>
          </w:p>
        </w:tc>
      </w:tr>
    </w:tbl>
    <w:p/>
    <w:p>
      <w:pPr>
        <w:pStyle w:val="Heading3"/>
      </w:pPr>
      <w:r>
        <w:t>コルレス銀行（Correspondent Banking）とは</w:t>
      </w:r>
    </w:p>
    <w:p>
      <w:r>
        <w:t>コルレス = Correspondent = 代理人</w:t>
      </w:r>
    </w:p>
    <w:p/>
    <w:p>
      <w:r>
        <w:t>仕組み:</w:t>
      </w:r>
    </w:p>
    <w:p>
      <w:r>
        <w:t xml:space="preserve">  日本の銀行 → 海外送金したい → でも相手国に支店がない</w:t>
      </w:r>
    </w:p>
    <w:p>
      <w:r>
        <w:t xml:space="preserve">  → 相手国の銀行（コルレス先）に口座を持つ</w:t>
      </w:r>
    </w:p>
    <w:p>
      <w:r>
        <w:t xml:space="preserve">  → その口座を経由して送金する</w:t>
      </w:r>
    </w:p>
    <w:p/>
    <w:tbl>
      <w:tblPr>
        <w:tblStyle w:val="TableGrid"/>
        <w:tblW w:type="auto" w:w="0"/>
        <w:tblLook w:firstColumn="1" w:firstRow="1" w:lastColumn="0" w:lastRow="0" w:noHBand="0" w:noVBand="1" w:val="04A0"/>
      </w:tblPr>
      <w:tblGrid>
        <w:gridCol w:w="4320"/>
        <w:gridCol w:w="4320"/>
      </w:tblGrid>
      <w:tr>
        <w:tc>
          <w:tcPr>
            <w:tcW w:type="dxa" w:w="4320"/>
          </w:tcPr>
          <w:p>
            <w:r>
              <w:t>用語</w:t>
            </w:r>
          </w:p>
        </w:tc>
        <w:tc>
          <w:tcPr>
            <w:tcW w:type="dxa" w:w="4320"/>
          </w:tcPr>
          <w:p>
            <w:r>
              <w:t>意味</w:t>
            </w:r>
          </w:p>
        </w:tc>
      </w:tr>
      <w:tr>
        <w:tc>
          <w:tcPr>
            <w:tcW w:type="dxa" w:w="4320"/>
          </w:tcPr>
          <w:p>
            <w:r>
              <w:t>Correspondent（コルレス）</w:t>
            </w:r>
          </w:p>
        </w:tc>
        <w:tc>
          <w:tcPr>
            <w:tcW w:type="dxa" w:w="4320"/>
          </w:tcPr>
          <w:p>
            <w:r>
              <w:t>代わりに送金してくれる銀行</w:t>
            </w:r>
          </w:p>
        </w:tc>
      </w:tr>
      <w:tr>
        <w:tc>
          <w:tcPr>
            <w:tcW w:type="dxa" w:w="4320"/>
          </w:tcPr>
          <w:p>
            <w:r>
              <w:t>Respondent（レスポンデント）</w:t>
            </w:r>
          </w:p>
        </w:tc>
        <w:tc>
          <w:tcPr>
            <w:tcW w:type="dxa" w:w="4320"/>
          </w:tcPr>
          <w:p>
            <w:r>
              <w:t>送金を頼む側の銀行</w:t>
            </w:r>
          </w:p>
        </w:tc>
      </w:tr>
      <w:tr>
        <w:tc>
          <w:tcPr>
            <w:tcW w:type="dxa" w:w="4320"/>
          </w:tcPr>
          <w:p>
            <w:r>
              <w:t>コルレス口座</w:t>
            </w:r>
          </w:p>
        </w:tc>
        <w:tc>
          <w:tcPr>
            <w:tcW w:type="dxa" w:w="4320"/>
          </w:tcPr>
          <w:p>
            <w:r>
              <w:t>コルレス銀行に開設した代理口座</w:t>
            </w:r>
          </w:p>
        </w:tc>
      </w:tr>
    </w:tbl>
    <w:p/>
    <w:p>
      <w:r>
        <w:t>なぜ高リスク:</w:t>
      </w:r>
    </w:p>
    <w:p>
      <w:r>
        <w:t xml:space="preserve">  米国銀行から見ると「日本の銀行からの送金」としか見えない</w:t>
      </w:r>
    </w:p>
    <w:p>
      <w:r>
        <w:t xml:space="preserve">  → その裏にいる本当の顧客が誰かわからない</w:t>
      </w:r>
    </w:p>
    <w:p>
      <w:r>
        <w:t xml:space="preserve">  → だから「門番（コルレス銀行）自体をチェックする」= §312のEDD</w:t>
      </w:r>
    </w:p>
    <w:p/>
    <w:p>
      <w:pPr>
        <w:pStyle w:val="Heading3"/>
      </w:pPr>
      <w:r>
        <w:t>「銀行だから信用できる」は間違い</w:t>
      </w:r>
    </w:p>
    <w:p>
      <w:r>
        <w:t>世界トップクラスの銀行でもMLに加担していた:</w:t>
      </w:r>
    </w:p>
    <w:tbl>
      <w:tblPr>
        <w:tblStyle w:val="TableGrid"/>
        <w:tblW w:type="auto" w:w="0"/>
        <w:tblLook w:firstColumn="1" w:firstRow="1" w:lastColumn="0" w:lastRow="0" w:noHBand="0" w:noVBand="1" w:val="04A0"/>
      </w:tblPr>
      <w:tblGrid>
        <w:gridCol w:w="2880"/>
        <w:gridCol w:w="2880"/>
        <w:gridCol w:w="2880"/>
      </w:tblGrid>
      <w:tr>
        <w:tc>
          <w:tcPr>
            <w:tcW w:type="dxa" w:w="2880"/>
          </w:tcPr>
          <w:p>
            <w:r>
              <w:t>年</w:t>
            </w:r>
          </w:p>
        </w:tc>
        <w:tc>
          <w:tcPr>
            <w:tcW w:type="dxa" w:w="2880"/>
          </w:tcPr>
          <w:p>
            <w:r>
              <w:t>銀行</w:t>
            </w:r>
          </w:p>
        </w:tc>
        <w:tc>
          <w:tcPr>
            <w:tcW w:type="dxa" w:w="2880"/>
          </w:tcPr>
          <w:p>
            <w:r>
              <w:t>罰金</w:t>
            </w:r>
          </w:p>
        </w:tc>
      </w:tr>
      <w:tr>
        <w:tc>
          <w:tcPr>
            <w:tcW w:type="dxa" w:w="2880"/>
          </w:tcPr>
          <w:p>
            <w:r>
              <w:t>2023</w:t>
            </w:r>
          </w:p>
        </w:tc>
        <w:tc>
          <w:tcPr>
            <w:tcW w:type="dxa" w:w="2880"/>
          </w:tcPr>
          <w:p>
            <w:r>
              <w:t>Binance（暗号資産）— AML違反・制裁回避</w:t>
            </w:r>
          </w:p>
        </w:tc>
        <w:tc>
          <w:tcPr>
            <w:tcW w:type="dxa" w:w="2880"/>
          </w:tcPr>
          <w:p>
            <w:r>
              <w:t>$4.3B（約6,000億円）</w:t>
            </w:r>
          </w:p>
        </w:tc>
      </w:tr>
      <w:tr>
        <w:tc>
          <w:tcPr>
            <w:tcW w:type="dxa" w:w="2880"/>
          </w:tcPr>
          <w:p>
            <w:r>
              <w:t>2022</w:t>
            </w:r>
          </w:p>
        </w:tc>
        <w:tc>
          <w:tcPr>
            <w:tcW w:type="dxa" w:w="2880"/>
          </w:tcPr>
          <w:p>
            <w:r>
              <w:t>Danske Bank（デンマーク）— エストニア支店ML</w:t>
            </w:r>
          </w:p>
        </w:tc>
        <w:tc>
          <w:tcPr>
            <w:tcW w:type="dxa" w:w="2880"/>
          </w:tcPr>
          <w:p>
            <w:r>
              <w:t>$2B（約2,800億円）</w:t>
            </w:r>
          </w:p>
        </w:tc>
      </w:tr>
      <w:tr>
        <w:tc>
          <w:tcPr>
            <w:tcW w:type="dxa" w:w="2880"/>
          </w:tcPr>
          <w:p>
            <w:r>
              <w:t>2019</w:t>
            </w:r>
          </w:p>
        </w:tc>
        <w:tc>
          <w:tcPr>
            <w:tcW w:type="dxa" w:w="2880"/>
          </w:tcPr>
          <w:p>
            <w:r>
              <w:t>Standard Chartered — 制裁違反（2度目）</w:t>
            </w:r>
          </w:p>
        </w:tc>
        <w:tc>
          <w:tcPr>
            <w:tcW w:type="dxa" w:w="2880"/>
          </w:tcPr>
          <w:p>
            <w:r>
              <w:t>$1.1B（約1,200億円）</w:t>
            </w:r>
          </w:p>
        </w:tc>
      </w:tr>
      <w:tr>
        <w:tc>
          <w:tcPr>
            <w:tcW w:type="dxa" w:w="2880"/>
          </w:tcPr>
          <w:p>
            <w:r>
              <w:t>2018</w:t>
            </w:r>
          </w:p>
        </w:tc>
        <w:tc>
          <w:tcPr>
            <w:tcW w:type="dxa" w:w="2880"/>
          </w:tcPr>
          <w:p>
            <w:r>
              <w:t>ABLV Bank（ラトビア）— §311発動</w:t>
            </w:r>
          </w:p>
        </w:tc>
        <w:tc>
          <w:tcPr>
            <w:tcW w:type="dxa" w:w="2880"/>
          </w:tcPr>
          <w:p>
            <w:r>
              <w:t>銀行消滅</w:t>
            </w:r>
          </w:p>
        </w:tc>
      </w:tr>
      <w:tr>
        <w:tc>
          <w:tcPr>
            <w:tcW w:type="dxa" w:w="2880"/>
          </w:tcPr>
          <w:p>
            <w:r>
              <w:t>2014</w:t>
            </w:r>
          </w:p>
        </w:tc>
        <w:tc>
          <w:tcPr>
            <w:tcW w:type="dxa" w:w="2880"/>
          </w:tcPr>
          <w:p>
            <w:r>
              <w:t>BNP Paribas（仏大手）— 制裁国と取引</w:t>
            </w:r>
          </w:p>
        </w:tc>
        <w:tc>
          <w:tcPr>
            <w:tcW w:type="dxa" w:w="2880"/>
          </w:tcPr>
          <w:p>
            <w:r>
              <w:t>$8.9B（約1兆円）</w:t>
            </w:r>
          </w:p>
        </w:tc>
      </w:tr>
      <w:tr>
        <w:tc>
          <w:tcPr>
            <w:tcW w:type="dxa" w:w="2880"/>
          </w:tcPr>
          <w:p>
            <w:r>
              <w:t>2012</w:t>
            </w:r>
          </w:p>
        </w:tc>
        <w:tc>
          <w:tcPr>
            <w:tcW w:type="dxa" w:w="2880"/>
          </w:tcPr>
          <w:p>
            <w:r>
              <w:t>HSBC（英国大手）— 麻薬カルテル資金洗浄</w:t>
            </w:r>
          </w:p>
        </w:tc>
        <w:tc>
          <w:tcPr>
            <w:tcW w:type="dxa" w:w="2880"/>
          </w:tcPr>
          <w:p>
            <w:r>
              <w:t>$1.9B（約2,000億円）</w:t>
            </w:r>
          </w:p>
        </w:tc>
      </w:tr>
    </w:tbl>
    <w:p/>
    <w:p>
      <w:r>
        <w:t>今も起き続けている理由:</w:t>
      </w:r>
    </w:p>
    <w:p>
      <w:r>
        <w:t xml:space="preserve">  ① MLの手口が進化（暗号資産、フィンテック等）</w:t>
      </w:r>
    </w:p>
    <w:p>
      <w:r>
        <w:t xml:space="preserve">  ② 利益の誘惑（AML強化=コスト増、手を抜きたい）</w:t>
      </w:r>
    </w:p>
    <w:p>
      <w:r>
        <w:t xml:space="preserve">  ③ グローバル化（国をまたぐ取引が増え、監視が追いつかない）</w:t>
      </w:r>
    </w:p>
    <w:p>
      <w:r>
        <w:t xml:space="preserve">  ④ 規制の厳格化（以前は見逃されていたことが今は摘発される）</w:t>
      </w:r>
    </w:p>
    <w:p/>
    <w:p>
      <w:r>
        <w:t>→ 「昔の話」ではなく「今この瞬間も」起きている。だからコルレスDDは今も必要。</w:t>
      </w:r>
    </w:p>
    <w:p/>
    <w:p>
      <w:r>
        <w:t>━━━━━━━━━━━━━━━━━━━━━━━━━━━━━━━━━━━━━━━━━━━━━━━━━━</w:t>
      </w:r>
    </w:p>
    <w:p>
      <w:pPr>
        <w:pStyle w:val="Heading2"/>
      </w:pPr>
      <w:r>
        <w:t>🔗 CAMS × 日本AML 比較</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t>CAMS</w:t>
            </w:r>
          </w:p>
        </w:tc>
        <w:tc>
          <w:tcPr>
            <w:tcW w:type="dxa" w:w="2880"/>
          </w:tcPr>
          <w:p>
            <w:r>
              <w:t>日本AML</w:t>
            </w:r>
          </w:p>
        </w:tc>
      </w:tr>
      <w:tr>
        <w:tc>
          <w:tcPr>
            <w:tcW w:type="dxa" w:w="2880"/>
          </w:tcPr>
          <w:p>
            <w:r>
              <w:t>出題</w:t>
            </w:r>
          </w:p>
        </w:tc>
        <w:tc>
          <w:tcPr>
            <w:tcW w:type="dxa" w:w="2880"/>
          </w:tcPr>
          <w:p>
            <w:r>
              <w:t>Q11（コルレスDD）、Q12（PTA）、Q15（ネステッド）</w:t>
            </w:r>
          </w:p>
        </w:tc>
        <w:tc>
          <w:tcPr>
            <w:tcW w:type="dxa" w:w="2880"/>
          </w:tcPr>
          <w:p>
            <w:r>
              <w:t>問4-19〜4-21（海外送金の確認事項）</w:t>
            </w:r>
          </w:p>
        </w:tc>
      </w:tr>
      <w:tr>
        <w:tc>
          <w:tcPr>
            <w:tcW w:type="dxa" w:w="2880"/>
          </w:tcPr>
          <w:p>
            <w:r>
              <w:t>根拠</w:t>
            </w:r>
          </w:p>
        </w:tc>
        <w:tc>
          <w:tcPr>
            <w:tcW w:type="dxa" w:w="2880"/>
          </w:tcPr>
          <w:p>
            <w:r>
              <w:t>USA PATRIOT Act §312/§313</w:t>
            </w:r>
          </w:p>
        </w:tc>
        <w:tc>
          <w:tcPr>
            <w:tcW w:type="dxa" w:w="2880"/>
          </w:tcPr>
          <w:p>
            <w:r>
              <w:t>金融庁GL「コルレス先管理」</w:t>
            </w:r>
          </w:p>
        </w:tc>
      </w:tr>
      <w:tr>
        <w:tc>
          <w:tcPr>
            <w:tcW w:type="dxa" w:w="2880"/>
          </w:tcPr>
          <w:p>
            <w:r>
              <w:t>共通原則</w:t>
            </w:r>
          </w:p>
        </w:tc>
        <w:tc>
          <w:tcPr>
            <w:tcW w:type="dxa" w:w="2880"/>
          </w:tcPr>
          <w:p>
            <w:r>
              <w:t>コルレス先のAML統制を確認</w:t>
            </w:r>
          </w:p>
        </w:tc>
        <w:tc>
          <w:tcPr>
            <w:tcW w:type="dxa" w:w="2880"/>
          </w:tcPr>
          <w:p>
            <w:r>
              <w:t>コルレス先管理もRBAの枠組みで実施</w:t>
            </w:r>
          </w:p>
        </w:tc>
      </w:tr>
    </w:tbl>
    <w:p/>
    <w:p>
      <w:r>
        <w:t>━━━━━━━━━━━━━━━━━━━━━━━━━━━━━━━━━━━━━━━━━━━━━━━━━━</w:t>
      </w:r>
    </w:p>
    <w:p>
      <w:pPr>
        <w:pStyle w:val="Heading2"/>
      </w:pPr>
      <w:r>
        <w:t>📝 関連する試験問題</w:t>
      </w:r>
    </w:p>
    <w:p>
      <w:r>
        <w:t>• CAMS Q12: PTA（ペイアブル・スルー口座）のリスク — 次の問題</w:t>
      </w:r>
    </w:p>
    <w:p>
      <w:r>
        <w:t>• CAMS Q15: ネステッド・コルレス（下流銀行の問題）</w:t>
      </w:r>
    </w:p>
    <w:p>
      <w:r>
        <w:t>• CAMS Q27: シェルバンクの定義</w:t>
      </w:r>
    </w:p>
    <w:p>
      <w:r>
        <w:t>• CAMS Q36: コルレス先へのPEPリスト要求とGDPR</w:t>
      </w:r>
    </w:p>
    <w:p>
      <w:r>
        <w:t>• CAMS Q45: §311 Special Measures</w:t>
      </w:r>
    </w:p>
    <w:p>
      <w:r>
        <w:t>• CAMS Q49: RBA禁止顧客（シェルバンク）</w:t>
      </w:r>
    </w:p>
    <w:p>
      <w:r>
        <w:t>• 日本AML 問4-19: 海外送金におけるコルレス先確認</w:t>
      </w:r>
    </w:p>
    <w:p>
      <w:r>
        <w:t>• 日本AML 問4-20: 海外送金の実務対応</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