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CAMS Q5 — フリールック・ローンダリング・スキーム</w:t>
      </w:r>
    </w:p>
    <w:p>
      <w:r>
        <w:t>Domain 1: ML/TF Risks and Methods | タグ: ml-basics</w:t>
      </w:r>
    </w:p>
    <w:p>
      <w:r>
        <w:t>━━━━━━━━━━━━━━━━━━━━━━━━━━━━━━━━━━━━━━━━━━━━━━━━━━</w:t>
      </w:r>
    </w:p>
    <w:p>
      <w:pPr>
        <w:pStyle w:val="Heading2"/>
      </w:pPr>
      <w:r>
        <w:t>問題</w:t>
      </w:r>
    </w:p>
    <w:p>
      <w:r>
        <w:t>ある顧客が100万ドルの一時払い保険料で生命保険を購入した。その後、クーリングオフ期間中に解約し、返戻金の小切手を第三者の法人宛てに送付するよう要求した。これは何か。</w:t>
      </w:r>
    </w:p>
    <w:p/>
    <w:p>
      <w:r>
        <w:t>A. 優柔不断</w:t>
      </w:r>
    </w:p>
    <w:p>
      <w:r>
        <w:t>B. 相続対策</w:t>
      </w:r>
    </w:p>
    <w:p>
      <w:r>
        <w:t>C. 典型的な「フリールック」ローンダリング・スキーム（統合/階層化）</w:t>
      </w:r>
    </w:p>
    <w:p>
      <w:r>
        <w:t>D. 節税対策</w:t>
      </w:r>
    </w:p>
    <w:p>
      <w:r>
        <w:t>━━━━━━━━━━━━━━━━━━━━━━━━━━━━━━━━━━━━━━━━━━━━━━━━━━</w:t>
      </w:r>
    </w:p>
    <w:p>
      <w:pPr>
        <w:pStyle w:val="Heading2"/>
      </w:pPr>
      <w:r>
        <w:t>正解: C</w:t>
      </w:r>
    </w:p>
    <w:p>
      <w:pPr>
        <w:pStyle w:val="Heading2"/>
      </w:pPr>
      <w:r>
        <w:t>解説</w:t>
      </w:r>
    </w:p>
    <w:p>
      <w:r>
        <w:t>「購入→解約→返戻金小切手」というシンプルな手順が、現金性の高い犯罪収益を保険会社経由で正規の小切手に変える典型的なフリールック・スキーム。FATF/IAIS指針「Life Insurance Sector Risk Assessment」が指摘する典型手口。</w:t>
      </w:r>
    </w:p>
    <w:p>
      <w:pPr>
        <w:pStyle w:val="Heading2"/>
      </w:pPr>
      <w:r>
        <w:t>English Version</w:t>
      </w:r>
    </w:p>
    <w:p>
      <w:r>
        <w:t>A customer buys a "Life Insurance" policy with a single premium of $1 million. He cancels it during the "cooling-off" period and asks for the refund check to be sent to a third-party corporation. This is:</w:t>
      </w:r>
    </w:p>
    <w:p>
      <w:r>
        <w:t>━━━━━━━━━━━━━━━━━━━━━━━━━━━━━━━━━━━━━━━━━━━━━━━━━━</w:t>
      </w:r>
    </w:p>
    <w:p>
      <w:pPr>
        <w:pStyle w:val="Heading2"/>
      </w:pPr>
      <w:r>
        <w:t>📚 Q5から広がった関連知識</w:t>
      </w:r>
    </w:p>
    <w:p>
      <w:pPr>
        <w:pStyle w:val="Heading3"/>
      </w:pPr>
      <w:r>
        <w:t>フリールック・スキームの仕組み</w:t>
      </w:r>
    </w:p>
    <w:p>
      <w:r>
        <w:t>① 犯罪収益（現金100万ドル）で生命保険を購入 ← プレースメント</w:t>
      </w:r>
    </w:p>
    <w:p>
      <w:r>
        <w:t>② クーリングオフ期間中に解約</w:t>
      </w:r>
    </w:p>
    <w:p>
      <w:r>
        <w:t>③ 保険会社から「返戻金の小切手」が発行される ← レイヤリング/インテグレーション</w:t>
      </w:r>
    </w:p>
    <w:p>
      <w:r>
        <w:t>④ 小切手の出所は「保険会社」→ 犯罪収益には見えない！</w:t>
      </w:r>
    </w:p>
    <w:p/>
    <w:p>
      <w:r>
        <w:t>本質: 現金 → 保険会社経由 → きれいな小切手に変身</w:t>
      </w:r>
    </w:p>
    <w:p/>
    <w:p>
      <w:r>
        <w:t>なぜ「フリールック」と呼ぶか:</w:t>
      </w:r>
    </w:p>
    <w:tbl>
      <w:tblPr>
        <w:tblStyle w:val="TableGrid"/>
        <w:tblW w:type="auto" w:w="0"/>
        <w:tblLook w:firstColumn="1" w:firstRow="1" w:lastColumn="0" w:lastRow="0" w:noHBand="0" w:noVBand="1" w:val="04A0"/>
      </w:tblPr>
      <w:tblGrid>
        <w:gridCol w:w="4320"/>
        <w:gridCol w:w="4320"/>
      </w:tblGrid>
      <w:tr>
        <w:tc>
          <w:tcPr>
            <w:tcW w:type="dxa" w:w="4320"/>
          </w:tcPr>
          <w:p>
            <w:r>
              <w:t>用語</w:t>
            </w:r>
          </w:p>
        </w:tc>
        <w:tc>
          <w:tcPr>
            <w:tcW w:type="dxa" w:w="4320"/>
          </w:tcPr>
          <w:p>
            <w:r>
              <w:t>意味</w:t>
            </w:r>
          </w:p>
        </w:tc>
      </w:tr>
      <w:tr>
        <w:tc>
          <w:tcPr>
            <w:tcW w:type="dxa" w:w="4320"/>
          </w:tcPr>
          <w:p>
            <w:r>
              <w:t>Free Look Period</w:t>
            </w:r>
          </w:p>
        </w:tc>
        <w:tc>
          <w:tcPr>
            <w:tcW w:type="dxa" w:w="4320"/>
          </w:tcPr>
          <w:p>
            <w:r>
              <w:t>保険の「クーリングオフ期間」（無条件解約できる期間）</w:t>
            </w:r>
          </w:p>
        </w:tc>
      </w:tr>
      <w:tr>
        <w:tc>
          <w:tcPr>
            <w:tcW w:type="dxa" w:w="4320"/>
          </w:tcPr>
          <w:p>
            <w:r>
              <w:t>フリールック・スキーム</w:t>
            </w:r>
          </w:p>
        </w:tc>
        <w:tc>
          <w:tcPr>
            <w:tcW w:type="dxa" w:w="4320"/>
          </w:tcPr>
          <w:p>
            <w:r>
              <w:t>この期間を悪用して、現金を小切手に変えるML手法</w:t>
            </w:r>
          </w:p>
        </w:tc>
      </w:tr>
    </w:tbl>
    <w:p/>
    <w:p>
      <w:r>
        <w:t>Q3で学んだ3段階のどこか:</w:t>
      </w:r>
    </w:p>
    <w:p>
      <w:r>
        <w:t xml:space="preserve">  現金で保険購入       → P（プレースメント：現金を処分）</w:t>
      </w:r>
    </w:p>
    <w:p>
      <w:r>
        <w:t xml:space="preserve">  保険会社の小切手に変換 → I（インテグレーション：合法的な外観を付与）</w:t>
      </w:r>
    </w:p>
    <w:p>
      <w:r>
        <w:t xml:space="preserve">  第三者法人に送付      → L（レイヤリング：資金の流れを複雑化）</w:t>
      </w:r>
    </w:p>
    <w:p>
      <w:r>
        <w:t xml:space="preserve">  → 1つの取引の中にP・L・Iが全部入っているのが特徴</w:t>
      </w:r>
    </w:p>
    <w:p/>
    <w:p>
      <w:pPr>
        <w:pStyle w:val="Heading3"/>
      </w:pPr>
      <w:r>
        <w:t>レッドフラッグ（Red Flag）= 赤旗 = 危険信号</w:t>
      </w:r>
    </w:p>
    <w:p>
      <w:r>
        <w:t>「これは怪しい！」という警告サイン。日本AMLでは「疑わしい取引の類型」と表現される。</w:t>
      </w:r>
    </w:p>
    <w:p/>
    <w:p>
      <w:r>
        <w:t>信号の色で覚える:</w:t>
      </w:r>
    </w:p>
    <w:tbl>
      <w:tblPr>
        <w:tblStyle w:val="TableGrid"/>
        <w:tblW w:type="auto" w:w="0"/>
        <w:tblLook w:firstColumn="1" w:firstRow="1" w:lastColumn="0" w:lastRow="0" w:noHBand="0" w:noVBand="1" w:val="04A0"/>
      </w:tblPr>
      <w:tblGrid>
        <w:gridCol w:w="2880"/>
        <w:gridCol w:w="2880"/>
        <w:gridCol w:w="2880"/>
      </w:tblGrid>
      <w:tr>
        <w:tc>
          <w:tcPr>
            <w:tcW w:type="dxa" w:w="2880"/>
          </w:tcPr>
          <w:p>
            <w:r>
              <w:t>色</w:t>
            </w:r>
          </w:p>
        </w:tc>
        <w:tc>
          <w:tcPr>
            <w:tcW w:type="dxa" w:w="2880"/>
          </w:tcPr>
          <w:p>
            <w:r>
              <w:t>意味</w:t>
            </w:r>
          </w:p>
        </w:tc>
        <w:tc>
          <w:tcPr>
            <w:tcW w:type="dxa" w:w="2880"/>
          </w:tcPr>
          <w:p>
            <w:r>
              <w:t>対応</w:t>
            </w:r>
          </w:p>
        </w:tc>
      </w:tr>
      <w:tr>
        <w:tc>
          <w:tcPr>
            <w:tcW w:type="dxa" w:w="2880"/>
          </w:tcPr>
          <w:p>
            <w:r>
              <w:t>グリーン</w:t>
            </w:r>
          </w:p>
        </w:tc>
        <w:tc>
          <w:tcPr>
            <w:tcW w:type="dxa" w:w="2880"/>
          </w:tcPr>
          <w:p>
            <w:r>
              <w:t>問題なし</w:t>
            </w:r>
          </w:p>
        </w:tc>
        <w:tc>
          <w:tcPr>
            <w:tcW w:type="dxa" w:w="2880"/>
          </w:tcPr>
          <w:p>
            <w:r>
              <w:t>そのまま取引実行</w:t>
            </w:r>
          </w:p>
        </w:tc>
      </w:tr>
      <w:tr>
        <w:tc>
          <w:tcPr>
            <w:tcW w:type="dxa" w:w="2880"/>
          </w:tcPr>
          <w:p>
            <w:r>
              <w:t>イエロー</w:t>
            </w:r>
          </w:p>
        </w:tc>
        <w:tc>
          <w:tcPr>
            <w:tcW w:type="dxa" w:w="2880"/>
          </w:tcPr>
          <w:p>
            <w:r>
              <w:t>少し気になる</w:t>
            </w:r>
          </w:p>
        </w:tc>
        <w:tc>
          <w:tcPr>
            <w:tcW w:type="dxa" w:w="2880"/>
          </w:tcPr>
          <w:p>
            <w:r>
              <w:t>注意して見守る・追加質問する</w:t>
            </w:r>
          </w:p>
        </w:tc>
      </w:tr>
      <w:tr>
        <w:tc>
          <w:tcPr>
            <w:tcW w:type="dxa" w:w="2880"/>
          </w:tcPr>
          <w:p>
            <w:r>
              <w:t>レッド</w:t>
            </w:r>
          </w:p>
        </w:tc>
        <w:tc>
          <w:tcPr>
            <w:tcW w:type="dxa" w:w="2880"/>
          </w:tcPr>
          <w:p>
            <w:r>
              <w:t>危険！</w:t>
            </w:r>
          </w:p>
        </w:tc>
        <w:tc>
          <w:tcPr>
            <w:tcW w:type="dxa" w:w="2880"/>
          </w:tcPr>
          <w:p>
            <w:r>
              <w:t>調査する・SAR/STRを検討する</w:t>
            </w:r>
          </w:p>
        </w:tc>
      </w:tr>
    </w:tbl>
    <w:p/>
    <w:p>
      <w:r>
        <w:t>※ CAMSの試験では「レッドフラッグ」のみ出題。イエローという用語は使わない。</w:t>
      </w:r>
    </w:p>
    <w:p/>
    <w:p>
      <w:r>
        <w:t>Q5のレッドフラッグ:</w:t>
      </w:r>
    </w:p>
    <w:tbl>
      <w:tblPr>
        <w:tblStyle w:val="TableGrid"/>
        <w:tblW w:type="auto" w:w="0"/>
        <w:tblLook w:firstColumn="1" w:firstRow="1" w:lastColumn="0" w:lastRow="0" w:noHBand="0" w:noVBand="1" w:val="04A0"/>
      </w:tblPr>
      <w:tblGrid>
        <w:gridCol w:w="4320"/>
        <w:gridCol w:w="4320"/>
      </w:tblGrid>
      <w:tr>
        <w:tc>
          <w:tcPr>
            <w:tcW w:type="dxa" w:w="4320"/>
          </w:tcPr>
          <w:p>
            <w:r>
              <w:t>サイン</w:t>
            </w:r>
          </w:p>
        </w:tc>
        <w:tc>
          <w:tcPr>
            <w:tcW w:type="dxa" w:w="4320"/>
          </w:tcPr>
          <w:p>
            <w:r>
              <w:t>なぜ怪しいか</w:t>
            </w:r>
          </w:p>
        </w:tc>
      </w:tr>
      <w:tr>
        <w:tc>
          <w:tcPr>
            <w:tcW w:type="dxa" w:w="4320"/>
          </w:tcPr>
          <w:p>
            <w:r>
              <w:t>一時払い（大量の現金）</w:t>
            </w:r>
          </w:p>
        </w:tc>
        <w:tc>
          <w:tcPr>
            <w:tcW w:type="dxa" w:w="4320"/>
          </w:tcPr>
          <w:p>
            <w:r>
              <w:t>なぜ分割払いにしない？</w:t>
            </w:r>
          </w:p>
        </w:tc>
      </w:tr>
      <w:tr>
        <w:tc>
          <w:tcPr>
            <w:tcW w:type="dxa" w:w="4320"/>
          </w:tcPr>
          <w:p>
            <w:r>
              <w:t>すぐ解約</w:t>
            </w:r>
          </w:p>
        </w:tc>
        <w:tc>
          <w:tcPr>
            <w:tcW w:type="dxa" w:w="4320"/>
          </w:tcPr>
          <w:p>
            <w:r>
              <w:t>保険が目的ではない証拠</w:t>
            </w:r>
          </w:p>
        </w:tc>
      </w:tr>
      <w:tr>
        <w:tc>
          <w:tcPr>
            <w:tcW w:type="dxa" w:w="4320"/>
          </w:tcPr>
          <w:p>
            <w:r>
              <w:t>第三者への送付</w:t>
            </w:r>
          </w:p>
        </w:tc>
        <w:tc>
          <w:tcPr>
            <w:tcW w:type="dxa" w:w="4320"/>
          </w:tcPr>
          <w:p>
            <w:r>
              <w:t>本人が受け取らない = 資金移動が目的</w:t>
            </w:r>
          </w:p>
        </w:tc>
      </w:tr>
    </w:tbl>
    <w:p/>
    <w:p>
      <w:r>
        <w:t>Q1〜Q5で出てきたレッドフラッグ一覧:</w:t>
      </w:r>
    </w:p>
    <w:tbl>
      <w:tblPr>
        <w:tblStyle w:val="TableGrid"/>
        <w:tblW w:type="auto" w:w="0"/>
        <w:tblLook w:firstColumn="1" w:firstRow="1" w:lastColumn="0" w:lastRow="0" w:noHBand="0" w:noVBand="1" w:val="04A0"/>
      </w:tblPr>
      <w:tblGrid>
        <w:gridCol w:w="4320"/>
        <w:gridCol w:w="4320"/>
      </w:tblGrid>
      <w:tr>
        <w:tc>
          <w:tcPr>
            <w:tcW w:type="dxa" w:w="4320"/>
          </w:tcPr>
          <w:p>
            <w:r>
              <w:t>問題</w:t>
            </w:r>
          </w:p>
        </w:tc>
        <w:tc>
          <w:tcPr>
            <w:tcW w:type="dxa" w:w="4320"/>
          </w:tcPr>
          <w:p>
            <w:r>
              <w:t>レッドフラッグ</w:t>
            </w:r>
          </w:p>
        </w:tc>
      </w:tr>
      <w:tr>
        <w:tc>
          <w:tcPr>
            <w:tcW w:type="dxa" w:w="4320"/>
          </w:tcPr>
          <w:p>
            <w:r>
              <w:t>Q1</w:t>
            </w:r>
          </w:p>
        </w:tc>
        <w:tc>
          <w:tcPr>
            <w:tcW w:type="dxa" w:w="4320"/>
          </w:tcPr>
          <w:p>
            <w:r>
              <w:t>エスコートサービスへの支払い + 高速現金入金</w:t>
            </w:r>
          </w:p>
        </w:tc>
      </w:tr>
      <w:tr>
        <w:tc>
          <w:tcPr>
            <w:tcW w:type="dxa" w:w="4320"/>
          </w:tcPr>
          <w:p>
            <w:r>
              <w:t>Q5</w:t>
            </w:r>
          </w:p>
        </w:tc>
        <w:tc>
          <w:tcPr>
            <w:tcW w:type="dxa" w:w="4320"/>
          </w:tcPr>
          <w:p>
            <w:r>
              <w:t>保険の一時払い + すぐ解約 + 第三者送付</w:t>
            </w:r>
          </w:p>
        </w:tc>
      </w:tr>
      <w:tr>
        <w:tc>
          <w:tcPr>
            <w:tcW w:type="dxa" w:w="4320"/>
          </w:tcPr>
          <w:p>
            <w:r>
              <w:t>Q9</w:t>
            </w:r>
          </w:p>
        </w:tc>
        <w:tc>
          <w:tcPr>
            <w:tcW w:type="dxa" w:w="4320"/>
          </w:tcPr>
          <w:p>
            <w:r>
              <w:t>単一受取人への大量国内送金</w:t>
            </w:r>
          </w:p>
        </w:tc>
      </w:tr>
      <w:tr>
        <w:tc>
          <w:tcPr>
            <w:tcW w:type="dxa" w:w="4320"/>
          </w:tcPr>
          <w:p>
            <w:r>
              <w:t>Q10</w:t>
            </w:r>
          </w:p>
        </w:tc>
        <w:tc>
          <w:tcPr>
            <w:tcW w:type="dxa" w:w="4320"/>
          </w:tcPr>
          <w:p>
            <w:r>
              <w:t>カジノで$2,900を2回に分けて換金</w:t>
            </w:r>
          </w:p>
        </w:tc>
      </w:tr>
    </w:tbl>
    <w:p/>
    <w:p>
      <w:pPr>
        <w:pStyle w:val="Heading3"/>
      </w:pPr>
      <w:r>
        <w:t>SAR / STR = 疑わしい取引の届出</w:t>
      </w:r>
    </w:p>
    <w:p>
      <w:r>
        <w:t>同じもの、呼び方が違うだけ。</w:t>
      </w:r>
    </w:p>
    <w:tbl>
      <w:tblPr>
        <w:tblStyle w:val="TableGrid"/>
        <w:tblW w:type="auto" w:w="0"/>
        <w:tblLook w:firstColumn="1" w:firstRow="1" w:lastColumn="0" w:lastRow="0" w:noHBand="0" w:noVBand="1" w:val="04A0"/>
      </w:tblPr>
      <w:tblGrid>
        <w:gridCol w:w="2880"/>
        <w:gridCol w:w="2880"/>
        <w:gridCol w:w="2880"/>
      </w:tblGrid>
      <w:tr>
        <w:tc>
          <w:tcPr>
            <w:tcW w:type="dxa" w:w="2880"/>
          </w:tcPr>
          <w:p>
            <w:r>
              <w:t>略語</w:t>
            </w:r>
          </w:p>
        </w:tc>
        <w:tc>
          <w:tcPr>
            <w:tcW w:type="dxa" w:w="2880"/>
          </w:tcPr>
          <w:p>
            <w:r>
              <w:t>正式名</w:t>
            </w:r>
          </w:p>
        </w:tc>
        <w:tc>
          <w:tcPr>
            <w:tcW w:type="dxa" w:w="2880"/>
          </w:tcPr>
          <w:p>
            <w:r>
              <w:t>使う国</w:t>
            </w:r>
          </w:p>
        </w:tc>
      </w:tr>
      <w:tr>
        <w:tc>
          <w:tcPr>
            <w:tcW w:type="dxa" w:w="2880"/>
          </w:tcPr>
          <w:p>
            <w:r>
              <w:t>SAR (エス・エー・アール)</w:t>
            </w:r>
          </w:p>
        </w:tc>
        <w:tc>
          <w:tcPr>
            <w:tcW w:type="dxa" w:w="2880"/>
          </w:tcPr>
          <w:p>
            <w:r>
              <w:t>Suspicious Activity Report</w:t>
            </w:r>
          </w:p>
        </w:tc>
        <w:tc>
          <w:tcPr>
            <w:tcW w:type="dxa" w:w="2880"/>
          </w:tcPr>
          <w:p>
            <w:r>
              <w:t>米国（FinCENに届出）</w:t>
            </w:r>
          </w:p>
        </w:tc>
      </w:tr>
      <w:tr>
        <w:tc>
          <w:tcPr>
            <w:tcW w:type="dxa" w:w="2880"/>
          </w:tcPr>
          <w:p>
            <w:r>
              <w:t>STR (エス・ティー・アール)</w:t>
            </w:r>
          </w:p>
        </w:tc>
        <w:tc>
          <w:tcPr>
            <w:tcW w:type="dxa" w:w="2880"/>
          </w:tcPr>
          <w:p>
            <w:r>
              <w:t>Suspicious Transaction Report</w:t>
            </w:r>
          </w:p>
        </w:tc>
        <w:tc>
          <w:tcPr>
            <w:tcW w:type="dxa" w:w="2880"/>
          </w:tcPr>
          <w:p>
            <w:r>
              <w:t>日本・その他多くの国</w:t>
            </w:r>
          </w:p>
        </w:tc>
      </w:tr>
      <w:tr>
        <w:tc>
          <w:tcPr>
            <w:tcW w:type="dxa" w:w="2880"/>
          </w:tcPr>
          <w:p>
            <w:r>
              <w:t>疑わしい取引の届出</w:t>
            </w:r>
          </w:p>
        </w:tc>
        <w:tc>
          <w:tcPr>
            <w:tcW w:type="dxa" w:w="2880"/>
          </w:tcPr>
          <w:p>
            <w:r>
              <w:t>犯収法の用語</w:t>
            </w:r>
          </w:p>
        </w:tc>
        <w:tc>
          <w:tcPr>
            <w:tcW w:type="dxa" w:w="2880"/>
          </w:tcPr>
          <w:p>
            <w:r>
              <w:t>日本</w:t>
            </w:r>
          </w:p>
        </w:tc>
      </w:tr>
    </w:tbl>
    <w:p/>
    <w:p>
      <w:r>
        <w:t>試験での使い分け:</w:t>
      </w:r>
    </w:p>
    <w:p>
      <w:r>
        <w:t xml:space="preserve">  CAMS → SAR（米国法が中心だから）</w:t>
      </w:r>
    </w:p>
    <w:p>
      <w:r>
        <w:t xml:space="preserve">  日本AML → 疑わしい取引の届出（犯収法の用語）</w:t>
      </w:r>
    </w:p>
    <w:p>
      <w:r>
        <w:t xml:space="preserve">  FATF → STR（国際標準用語）</w:t>
      </w:r>
    </w:p>
    <w:p/>
    <w:p>
      <w:r>
        <w:t>重要ルール:</w:t>
      </w:r>
    </w:p>
    <w:tbl>
      <w:tblPr>
        <w:tblStyle w:val="TableGrid"/>
        <w:tblW w:type="auto" w:w="0"/>
        <w:tblLook w:firstColumn="1" w:firstRow="1" w:lastColumn="0" w:lastRow="0" w:noHBand="0" w:noVBand="1" w:val="04A0"/>
      </w:tblPr>
      <w:tblGrid>
        <w:gridCol w:w="4320"/>
        <w:gridCol w:w="4320"/>
      </w:tblGrid>
      <w:tr>
        <w:tc>
          <w:tcPr>
            <w:tcW w:type="dxa" w:w="4320"/>
          </w:tcPr>
          <w:p>
            <w:r>
              <w:t>ルール</w:t>
            </w:r>
          </w:p>
        </w:tc>
        <w:tc>
          <w:tcPr>
            <w:tcW w:type="dxa" w:w="4320"/>
          </w:tcPr>
          <w:p>
            <w:r>
              <w:t>内容</w:t>
            </w:r>
          </w:p>
        </w:tc>
      </w:tr>
      <w:tr>
        <w:tc>
          <w:tcPr>
            <w:tcW w:type="dxa" w:w="4320"/>
          </w:tcPr>
          <w:p>
            <w:r>
              <w:t>義務</w:t>
            </w:r>
          </w:p>
        </w:tc>
        <w:tc>
          <w:tcPr>
            <w:tcW w:type="dxa" w:w="4320"/>
          </w:tcPr>
          <w:p>
            <w:r>
              <w:t>疑わしい取引を発見したら届出は義務（任意ではない）</w:t>
            </w:r>
          </w:p>
        </w:tc>
      </w:tr>
      <w:tr>
        <w:tc>
          <w:tcPr>
            <w:tcW w:type="dxa" w:w="4320"/>
          </w:tcPr>
          <w:p>
            <w:r>
              <w:t>Tipping-off禁止</w:t>
            </w:r>
          </w:p>
        </w:tc>
        <w:tc>
          <w:tcPr>
            <w:tcW w:type="dxa" w:w="4320"/>
          </w:tcPr>
          <w:p>
            <w:r>
              <w:t>届出したことを顧客に教えてはいけない</w:t>
            </w:r>
          </w:p>
        </w:tc>
      </w:tr>
      <w:tr>
        <w:tc>
          <w:tcPr>
            <w:tcW w:type="dxa" w:w="4320"/>
          </w:tcPr>
          <w:p>
            <w:r>
              <w:t>取引の継続</w:t>
            </w:r>
          </w:p>
        </w:tc>
        <w:tc>
          <w:tcPr>
            <w:tcW w:type="dxa" w:w="4320"/>
          </w:tcPr>
          <w:p>
            <w:r>
              <w:t>届出 ≠ 取引停止。リスクに応じて判断</w:t>
            </w:r>
          </w:p>
        </w:tc>
      </w:tr>
      <w:tr>
        <w:tc>
          <w:tcPr>
            <w:tcW w:type="dxa" w:w="4320"/>
          </w:tcPr>
          <w:p>
            <w:r>
              <w:t>免責（Safe Harbor）</w:t>
            </w:r>
          </w:p>
        </w:tc>
        <w:tc>
          <w:tcPr>
            <w:tcW w:type="dxa" w:w="4320"/>
          </w:tcPr>
          <w:p>
            <w:r>
              <w:t>善意で届出した場合、銀行は責任を問われない</w:t>
            </w:r>
          </w:p>
        </w:tc>
      </w:tr>
    </w:tbl>
    <w:p/>
    <w:p>
      <w:r>
        <w:t>CAMSで覚える数字:</w:t>
      </w:r>
    </w:p>
    <w:tbl>
      <w:tblPr>
        <w:tblStyle w:val="TableGrid"/>
        <w:tblW w:type="auto" w:w="0"/>
        <w:tblLook w:firstColumn="1" w:firstRow="1" w:lastColumn="0" w:lastRow="0" w:noHBand="0" w:noVBand="1" w:val="04A0"/>
      </w:tblPr>
      <w:tblGrid>
        <w:gridCol w:w="4320"/>
        <w:gridCol w:w="4320"/>
      </w:tblGrid>
      <w:tr>
        <w:tc>
          <w:tcPr>
            <w:tcW w:type="dxa" w:w="4320"/>
          </w:tcPr>
          <w:p>
            <w:r>
              <w:t>項目</w:t>
            </w:r>
          </w:p>
        </w:tc>
        <w:tc>
          <w:tcPr>
            <w:tcW w:type="dxa" w:w="4320"/>
          </w:tcPr>
          <w:p>
            <w:r>
              <w:t>内容</w:t>
            </w:r>
          </w:p>
        </w:tc>
      </w:tr>
      <w:tr>
        <w:tc>
          <w:tcPr>
            <w:tcW w:type="dxa" w:w="4320"/>
          </w:tcPr>
          <w:p>
            <w:r>
              <w:t>届出期限</w:t>
            </w:r>
          </w:p>
        </w:tc>
        <w:tc>
          <w:tcPr>
            <w:tcW w:type="dxa" w:w="4320"/>
          </w:tcPr>
          <w:p>
            <w:r>
              <w:t>検知から30日以内（被疑者未特定なら最大60日）</w:t>
            </w:r>
          </w:p>
        </w:tc>
      </w:tr>
      <w:tr>
        <w:tc>
          <w:tcPr>
            <w:tcW w:type="dxa" w:w="4320"/>
          </w:tcPr>
          <w:p>
            <w:r>
              <w:t>金額閾値</w:t>
            </w:r>
          </w:p>
        </w:tc>
        <w:tc>
          <w:tcPr>
            <w:tcW w:type="dxa" w:w="4320"/>
          </w:tcPr>
          <w:p>
            <w:r>
              <w:t>ML関連は$5,000以上（$50,000ではない！引っ掛け）</w:t>
            </w:r>
          </w:p>
        </w:tc>
      </w:tr>
      <w:tr>
        <w:tc>
          <w:tcPr>
            <w:tcW w:type="dxa" w:w="4320"/>
          </w:tcPr>
          <w:p>
            <w:r>
              <w:t>根拠法</w:t>
            </w:r>
          </w:p>
        </w:tc>
        <w:tc>
          <w:tcPr>
            <w:tcW w:type="dxa" w:w="4320"/>
          </w:tcPr>
          <w:p>
            <w:r>
              <w:t>31 CFR 1020.320</w:t>
            </w:r>
          </w:p>
        </w:tc>
      </w:tr>
    </w:tbl>
    <w:p/>
    <w:p>
      <w:r>
        <w:t>CAMSでSARが出る問題:</w:t>
      </w:r>
    </w:p>
    <w:p>
      <w:r>
        <w:t xml:space="preserve">  Q14: ストラクチャリング → SAR提出が必要</w:t>
      </w:r>
    </w:p>
    <w:p>
      <w:r>
        <w:t xml:space="preserve">  Q70: SAR提出の期限（30日/60日）と閾値（$5,000）</w:t>
      </w:r>
    </w:p>
    <w:p>
      <w:r>
        <w:t xml:space="preserve">  Q72: FIUの機能（SARを受領・分析・提供）</w:t>
      </w:r>
    </w:p>
    <w:p>
      <w:r>
        <w:t xml:space="preserve">  Q74: Keep Open Letter → SAR提出を継続</w:t>
      </w:r>
    </w:p>
    <w:p>
      <w:r>
        <w:t xml:space="preserve">  Q76: 法執行機関がSARの開示を要求 → SAR守秘義務</w:t>
      </w:r>
    </w:p>
    <w:p/>
    <w:p>
      <w:pPr>
        <w:pStyle w:val="Heading3"/>
      </w:pPr>
      <w:r>
        <w:t>CAMS頻出略語の読み方一覧</w:t>
      </w:r>
    </w:p>
    <w:tbl>
      <w:tblPr>
        <w:tblStyle w:val="TableGrid"/>
        <w:tblW w:type="auto" w:w="0"/>
        <w:tblLook w:firstColumn="1" w:firstRow="1" w:lastColumn="0" w:lastRow="0" w:noHBand="0" w:noVBand="1" w:val="04A0"/>
      </w:tblPr>
      <w:tblGrid>
        <w:gridCol w:w="2880"/>
        <w:gridCol w:w="2880"/>
        <w:gridCol w:w="2880"/>
      </w:tblGrid>
      <w:tr>
        <w:tc>
          <w:tcPr>
            <w:tcW w:type="dxa" w:w="2880"/>
          </w:tcPr>
          <w:p>
            <w:r>
              <w:t>略語</w:t>
            </w:r>
          </w:p>
        </w:tc>
        <w:tc>
          <w:tcPr>
            <w:tcW w:type="dxa" w:w="2880"/>
          </w:tcPr>
          <w:p>
            <w:r>
              <w:t>読み方</w:t>
            </w:r>
          </w:p>
        </w:tc>
        <w:tc>
          <w:tcPr>
            <w:tcW w:type="dxa" w:w="2880"/>
          </w:tcPr>
          <w:p>
            <w:r>
              <w:t>意味</w:t>
            </w:r>
          </w:p>
        </w:tc>
      </w:tr>
      <w:tr>
        <w:tc>
          <w:tcPr>
            <w:tcW w:type="dxa" w:w="2880"/>
          </w:tcPr>
          <w:p>
            <w:r>
              <w:t>SAR</w:t>
            </w:r>
          </w:p>
        </w:tc>
        <w:tc>
          <w:tcPr>
            <w:tcW w:type="dxa" w:w="2880"/>
          </w:tcPr>
          <w:p>
            <w:r>
              <w:t>エス・エー・アール</w:t>
            </w:r>
          </w:p>
        </w:tc>
        <w:tc>
          <w:tcPr>
            <w:tcW w:type="dxa" w:w="2880"/>
          </w:tcPr>
          <w:p>
            <w:r>
              <w:t>疑わしい活動報告（米国）</w:t>
            </w:r>
          </w:p>
        </w:tc>
      </w:tr>
      <w:tr>
        <w:tc>
          <w:tcPr>
            <w:tcW w:type="dxa" w:w="2880"/>
          </w:tcPr>
          <w:p>
            <w:r>
              <w:t>STR</w:t>
            </w:r>
          </w:p>
        </w:tc>
        <w:tc>
          <w:tcPr>
            <w:tcW w:type="dxa" w:w="2880"/>
          </w:tcPr>
          <w:p>
            <w:r>
              <w:t>エス・ティー・アール</w:t>
            </w:r>
          </w:p>
        </w:tc>
        <w:tc>
          <w:tcPr>
            <w:tcW w:type="dxa" w:w="2880"/>
          </w:tcPr>
          <w:p>
            <w:r>
              <w:t>疑わしい取引報告（国際）</w:t>
            </w:r>
          </w:p>
        </w:tc>
      </w:tr>
      <w:tr>
        <w:tc>
          <w:tcPr>
            <w:tcW w:type="dxa" w:w="2880"/>
          </w:tcPr>
          <w:p>
            <w:r>
              <w:t>CTR</w:t>
            </w:r>
          </w:p>
        </w:tc>
        <w:tc>
          <w:tcPr>
            <w:tcW w:type="dxa" w:w="2880"/>
          </w:tcPr>
          <w:p>
            <w:r>
              <w:t>シー・ティー・アール</w:t>
            </w:r>
          </w:p>
        </w:tc>
        <w:tc>
          <w:tcPr>
            <w:tcW w:type="dxa" w:w="2880"/>
          </w:tcPr>
          <w:p>
            <w:r>
              <w:t>通貨取引報告（$10,000超）</w:t>
            </w:r>
          </w:p>
        </w:tc>
      </w:tr>
      <w:tr>
        <w:tc>
          <w:tcPr>
            <w:tcW w:type="dxa" w:w="2880"/>
          </w:tcPr>
          <w:p>
            <w:r>
              <w:t>CDD</w:t>
            </w:r>
          </w:p>
        </w:tc>
        <w:tc>
          <w:tcPr>
            <w:tcW w:type="dxa" w:w="2880"/>
          </w:tcPr>
          <w:p>
            <w:r>
              <w:t>シー・ディー・ディー</w:t>
            </w:r>
          </w:p>
        </w:tc>
        <w:tc>
          <w:tcPr>
            <w:tcW w:type="dxa" w:w="2880"/>
          </w:tcPr>
          <w:p>
            <w:r>
              <w:t>顧客管理</w:t>
            </w:r>
          </w:p>
        </w:tc>
      </w:tr>
      <w:tr>
        <w:tc>
          <w:tcPr>
            <w:tcW w:type="dxa" w:w="2880"/>
          </w:tcPr>
          <w:p>
            <w:r>
              <w:t>EDD</w:t>
            </w:r>
          </w:p>
        </w:tc>
        <w:tc>
          <w:tcPr>
            <w:tcW w:type="dxa" w:w="2880"/>
          </w:tcPr>
          <w:p>
            <w:r>
              <w:t>イー・ディー・ディー</w:t>
            </w:r>
          </w:p>
        </w:tc>
        <w:tc>
          <w:tcPr>
            <w:tcW w:type="dxa" w:w="2880"/>
          </w:tcPr>
          <w:p>
            <w:r>
              <w:t>厳格な顧客管理</w:t>
            </w:r>
          </w:p>
        </w:tc>
      </w:tr>
      <w:tr>
        <w:tc>
          <w:tcPr>
            <w:tcW w:type="dxa" w:w="2880"/>
          </w:tcPr>
          <w:p>
            <w:r>
              <w:t>SDD</w:t>
            </w:r>
          </w:p>
        </w:tc>
        <w:tc>
          <w:tcPr>
            <w:tcW w:type="dxa" w:w="2880"/>
          </w:tcPr>
          <w:p>
            <w:r>
              <w:t>エス・ディー・ディー</w:t>
            </w:r>
          </w:p>
        </w:tc>
        <w:tc>
          <w:tcPr>
            <w:tcW w:type="dxa" w:w="2880"/>
          </w:tcPr>
          <w:p>
            <w:r>
              <w:t>簡素な顧客管理</w:t>
            </w:r>
          </w:p>
        </w:tc>
      </w:tr>
      <w:tr>
        <w:tc>
          <w:tcPr>
            <w:tcW w:type="dxa" w:w="2880"/>
          </w:tcPr>
          <w:p>
            <w:r>
              <w:t>FIU</w:t>
            </w:r>
          </w:p>
        </w:tc>
        <w:tc>
          <w:tcPr>
            <w:tcW w:type="dxa" w:w="2880"/>
          </w:tcPr>
          <w:p>
            <w:r>
              <w:t>エフ・アイ・ユー</w:t>
            </w:r>
          </w:p>
        </w:tc>
        <w:tc>
          <w:tcPr>
            <w:tcW w:type="dxa" w:w="2880"/>
          </w:tcPr>
          <w:p>
            <w:r>
              <w:t>資金情報機関</w:t>
            </w:r>
          </w:p>
        </w:tc>
      </w:tr>
      <w:tr>
        <w:tc>
          <w:tcPr>
            <w:tcW w:type="dxa" w:w="2880"/>
          </w:tcPr>
          <w:p>
            <w:r>
              <w:t>PEP</w:t>
            </w:r>
          </w:p>
        </w:tc>
        <w:tc>
          <w:tcPr>
            <w:tcW w:type="dxa" w:w="2880"/>
          </w:tcPr>
          <w:p>
            <w:r>
              <w:t>ペップ</w:t>
            </w:r>
          </w:p>
        </w:tc>
        <w:tc>
          <w:tcPr>
            <w:tcW w:type="dxa" w:w="2880"/>
          </w:tcPr>
          <w:p>
            <w:r>
              <w:t>重要な公的地位を有する者</w:t>
            </w:r>
          </w:p>
        </w:tc>
      </w:tr>
      <w:tr>
        <w:tc>
          <w:tcPr>
            <w:tcW w:type="dxa" w:w="2880"/>
          </w:tcPr>
          <w:p>
            <w:r>
              <w:t>UBO</w:t>
            </w:r>
          </w:p>
        </w:tc>
        <w:tc>
          <w:tcPr>
            <w:tcW w:type="dxa" w:w="2880"/>
          </w:tcPr>
          <w:p>
            <w:r>
              <w:t>ユー・ビー・オー</w:t>
            </w:r>
          </w:p>
        </w:tc>
        <w:tc>
          <w:tcPr>
            <w:tcW w:type="dxa" w:w="2880"/>
          </w:tcPr>
          <w:p>
            <w:r>
              <w:t>実質的支配者</w:t>
            </w:r>
          </w:p>
        </w:tc>
      </w:tr>
      <w:tr>
        <w:tc>
          <w:tcPr>
            <w:tcW w:type="dxa" w:w="2880"/>
          </w:tcPr>
          <w:p>
            <w:r>
              <w:t>RBA</w:t>
            </w:r>
          </w:p>
        </w:tc>
        <w:tc>
          <w:tcPr>
            <w:tcW w:type="dxa" w:w="2880"/>
          </w:tcPr>
          <w:p>
            <w:r>
              <w:t>アール・ビー・エー</w:t>
            </w:r>
          </w:p>
        </w:tc>
        <w:tc>
          <w:tcPr>
            <w:tcW w:type="dxa" w:w="2880"/>
          </w:tcPr>
          <w:p>
            <w:r>
              <w:t>リスクベース・アプローチ</w:t>
            </w:r>
          </w:p>
        </w:tc>
      </w:tr>
      <w:tr>
        <w:tc>
          <w:tcPr>
            <w:tcW w:type="dxa" w:w="2880"/>
          </w:tcPr>
          <w:p>
            <w:r>
              <w:t>NRA</w:t>
            </w:r>
          </w:p>
        </w:tc>
        <w:tc>
          <w:tcPr>
            <w:tcW w:type="dxa" w:w="2880"/>
          </w:tcPr>
          <w:p>
            <w:r>
              <w:t>エヌ・アール・エー</w:t>
            </w:r>
          </w:p>
        </w:tc>
        <w:tc>
          <w:tcPr>
            <w:tcW w:type="dxa" w:w="2880"/>
          </w:tcPr>
          <w:p>
            <w:r>
              <w:t>国家リスク評価</w:t>
            </w:r>
          </w:p>
        </w:tc>
      </w:tr>
    </w:tbl>
    <w:p/>
    <w:p>
      <w:r>
        <w:t>※ ほとんどが1文字ずつ読む。「ペップ（PEP）」だけ単語のように読む。</w:t>
      </w:r>
    </w:p>
    <w:p/>
    <w:p>
      <w:r>
        <w:t>━━━━━━━━━━━━━━━━━━━━━━━━━━━━━━━━━━━━━━━━━━━━━━━━━━</w:t>
      </w:r>
    </w:p>
    <w:p>
      <w:pPr>
        <w:pStyle w:val="Heading2"/>
      </w:pPr>
      <w:r>
        <w:t>🔗 CAMS × 日本AML 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CAMS</w:t>
            </w:r>
          </w:p>
        </w:tc>
        <w:tc>
          <w:tcPr>
            <w:tcW w:type="dxa" w:w="2880"/>
          </w:tcPr>
          <w:p>
            <w:r>
              <w:t>日本AML</w:t>
            </w:r>
          </w:p>
        </w:tc>
      </w:tr>
      <w:tr>
        <w:tc>
          <w:tcPr>
            <w:tcW w:type="dxa" w:w="2880"/>
          </w:tcPr>
          <w:p>
            <w:r>
              <w:t>出題</w:t>
            </w:r>
          </w:p>
        </w:tc>
        <w:tc>
          <w:tcPr>
            <w:tcW w:type="dxa" w:w="2880"/>
          </w:tcPr>
          <w:p>
            <w:r>
              <w:t>Q5（フリールック）</w:t>
            </w:r>
          </w:p>
        </w:tc>
        <w:tc>
          <w:tcPr>
            <w:tcW w:type="dxa" w:w="2880"/>
          </w:tcPr>
          <w:p>
            <w:r>
              <w:t>直接の出題なし</w:t>
            </w:r>
          </w:p>
        </w:tc>
      </w:tr>
      <w:tr>
        <w:tc>
          <w:tcPr>
            <w:tcW w:type="dxa" w:w="2880"/>
          </w:tcPr>
          <w:p>
            <w:r>
              <w:t>保険ML</w:t>
            </w:r>
          </w:p>
        </w:tc>
        <w:tc>
          <w:tcPr>
            <w:tcW w:type="dxa" w:w="2880"/>
          </w:tcPr>
          <w:p>
            <w:r>
              <w:t>FATF/IAIS指針で典型手口</w:t>
            </w:r>
          </w:p>
        </w:tc>
        <w:tc>
          <w:tcPr>
            <w:tcW w:type="dxa" w:w="2880"/>
          </w:tcPr>
          <w:p>
            <w:r>
              <w:t>生命保険はML高リスク商品として認識</w:t>
            </w:r>
          </w:p>
        </w:tc>
      </w:tr>
      <w:tr>
        <w:tc>
          <w:tcPr>
            <w:tcW w:type="dxa" w:w="2880"/>
          </w:tcPr>
          <w:p>
            <w:r>
              <w:t>届出用語</w:t>
            </w:r>
          </w:p>
        </w:tc>
        <w:tc>
          <w:tcPr>
            <w:tcW w:type="dxa" w:w="2880"/>
          </w:tcPr>
          <w:p>
            <w:r>
              <w:t>SAR</w:t>
            </w:r>
          </w:p>
        </w:tc>
        <w:tc>
          <w:tcPr>
            <w:tcW w:type="dxa" w:w="2880"/>
          </w:tcPr>
          <w:p>
            <w:r>
              <w:t>疑わしい取引の届出</w:t>
            </w:r>
          </w:p>
        </w:tc>
      </w:tr>
      <w:tr>
        <w:tc>
          <w:tcPr>
            <w:tcW w:type="dxa" w:w="2880"/>
          </w:tcPr>
          <w:p>
            <w:r>
              <w:t>届出先</w:t>
            </w:r>
          </w:p>
        </w:tc>
        <w:tc>
          <w:tcPr>
            <w:tcW w:type="dxa" w:w="2880"/>
          </w:tcPr>
          <w:p>
            <w:r>
              <w:t>FinCEN</w:t>
            </w:r>
          </w:p>
        </w:tc>
        <w:tc>
          <w:tcPr>
            <w:tcW w:type="dxa" w:w="2880"/>
          </w:tcPr>
          <w:p>
            <w:r>
              <w:t>JAFIC（所管行政庁経由）</w:t>
            </w:r>
          </w:p>
        </w:tc>
      </w:tr>
    </w:tbl>
    <w:p/>
    <w:p>
      <w:r>
        <w:t>━━━━━━━━━━━━━━━━━━━━━━━━━━━━━━━━━━━━━━━━━━━━━━━━━━</w:t>
      </w:r>
    </w:p>
    <w:p>
      <w:pPr>
        <w:pStyle w:val="Heading2"/>
      </w:pPr>
      <w:r>
        <w:t>Q1〜Q5の繋がり</w:t>
      </w:r>
    </w:p>
    <w:p>
      <w:r>
        <w:t>Q1: レッドフラッグ（人身取引）</w:t>
      </w:r>
    </w:p>
    <w:p>
      <w:r>
        <w:t>Q2: PEP（高リスク顧客）</w:t>
      </w:r>
    </w:p>
    <w:p>
      <w:r>
        <w:t>Q3: プレースメントの定義（処分）</w:t>
      </w:r>
    </w:p>
    <w:p>
      <w:r>
        <w:t>Q4: 前提犯罪（MLの原因）</w:t>
      </w:r>
    </w:p>
    <w:p>
      <w:r>
        <w:t>Q5: 具体的なMLスキーム ← Q3の知識（P/L/I）を実例に当てはめる問題</w:t>
      </w:r>
    </w:p>
    <w:p/>
    <w:p>
      <w:r>
        <w:t>━━━━━━━━━━━━━━━━━━━━━━━━━━━━━━━━━━━━━━━━━━━━━━━━━━</w:t>
      </w:r>
    </w:p>
    <w:p>
      <w:pPr>
        <w:pStyle w:val="Heading2"/>
      </w:pPr>
      <w:r>
        <w:t>📝 関連する試験問題</w:t>
      </w:r>
    </w:p>
    <w:p>
      <w:r>
        <w:t>• CAMS Q3: プレースメントの定義（処分）</w:t>
      </w:r>
    </w:p>
    <w:p>
      <w:r>
        <w:t>• CAMS Q7: ローンバック（ローンを使ったMLスキーム）</w:t>
      </w:r>
    </w:p>
    <w:p>
      <w:r>
        <w:t>• CAMS Q10: カジノでのストラクチャリング</w:t>
      </w:r>
    </w:p>
    <w:p>
      <w:r>
        <w:t>• CAMS Q14: ストラクチャリングとSAR提出</w:t>
      </w:r>
    </w:p>
    <w:p>
      <w:r>
        <w:t>• CAMS Q19: カジノ Cash→Check（インテグレーション）</w:t>
      </w:r>
    </w:p>
    <w:p>
      <w:r>
        <w:t>• CAMS Q70: SAR提出の30日/60日ルール</w:t>
      </w:r>
    </w:p>
    <w:p>
      <w:r>
        <w:t>• 日本AML 問1-1: ML定義と3段階</w:t>
      </w:r>
    </w:p>
    <w:p>
      <w:r>
        <w:t>• 日本AML 問7-1: 疑わしい取引の届出義務</w:t>
      </w:r>
    </w:p>
    <w:p>
      <w:r>
        <w:t>• 日本AML 問7-2: 疑わしい取引の類型</w:t>
      </w:r>
    </w:p>
    <w:p>
      <w:r>
        <w:t>• 日本AML 問7-5: Tipping-off禁止</w:t>
      </w:r>
    </w:p>
    <w:p/>
    <w:p>
      <w:r>
        <w:t>━━━━━━━━━━━━━━━━━━━━━━━━━━━━━━━━━━━━━━━━━━━━━━━━━━</w:t>
      </w:r>
    </w:p>
    <w:p>
      <w:pPr>
        <w:pStyle w:val="Heading2"/>
      </w:pPr>
      <w:r>
        <w:t>📚 追加知識：米国 vs 日本の制度比較</w:t>
      </w:r>
    </w:p>
    <w:p>
      <w:pPr>
        <w:pStyle w:val="Heading3"/>
      </w:pPr>
      <w:r>
        <w:t>疑わしい取引の届出：米国 vs 日本</w:t>
      </w:r>
    </w:p>
    <w:tbl>
      <w:tblPr>
        <w:tblStyle w:val="TableGrid"/>
        <w:tblW w:type="auto" w:w="0"/>
        <w:tblLook w:firstColumn="1" w:firstRow="1" w:lastColumn="0" w:lastRow="0" w:noHBand="0" w:noVBand="1" w:val="04A0"/>
      </w:tblPr>
      <w:tblGrid>
        <w:gridCol w:w="2880"/>
        <w:gridCol w:w="2880"/>
        <w:gridCol w:w="2880"/>
      </w:tblGrid>
      <w:tr>
        <w:tc>
          <w:tcPr>
            <w:tcW w:type="dxa" w:w="2880"/>
          </w:tcPr>
          <w:p>
            <w:r>
              <w:t>項目</w:t>
            </w:r>
          </w:p>
        </w:tc>
        <w:tc>
          <w:tcPr>
            <w:tcW w:type="dxa" w:w="2880"/>
          </w:tcPr>
          <w:p>
            <w:r>
              <w:t>米国（SAR）</w:t>
            </w:r>
          </w:p>
        </w:tc>
        <w:tc>
          <w:tcPr>
            <w:tcW w:type="dxa" w:w="2880"/>
          </w:tcPr>
          <w:p>
            <w:r>
              <w:t>日本（疑わしい取引の届出）</w:t>
            </w:r>
          </w:p>
        </w:tc>
      </w:tr>
      <w:tr>
        <w:tc>
          <w:tcPr>
            <w:tcW w:type="dxa" w:w="2880"/>
          </w:tcPr>
          <w:p>
            <w:r>
              <w:t>金額閾値</w:t>
            </w:r>
          </w:p>
        </w:tc>
        <w:tc>
          <w:tcPr>
            <w:tcW w:type="dxa" w:w="2880"/>
          </w:tcPr>
          <w:p>
            <w:r>
              <w:t>$5,000以上（ML関連）</w:t>
            </w:r>
          </w:p>
        </w:tc>
        <w:tc>
          <w:tcPr>
            <w:tcW w:type="dxa" w:w="2880"/>
          </w:tcPr>
          <w:p>
            <w:r>
              <w:t>金額基準なし（怪しければ全て）</w:t>
            </w:r>
          </w:p>
        </w:tc>
      </w:tr>
      <w:tr>
        <w:tc>
          <w:tcPr>
            <w:tcW w:type="dxa" w:w="2880"/>
          </w:tcPr>
          <w:p>
            <w:r>
              <w:t>提出期限</w:t>
            </w:r>
          </w:p>
        </w:tc>
        <w:tc>
          <w:tcPr>
            <w:tcW w:type="dxa" w:w="2880"/>
          </w:tcPr>
          <w:p>
            <w:r>
              <w:t>30日（最大60日）</w:t>
            </w:r>
          </w:p>
        </w:tc>
        <w:tc>
          <w:tcPr>
            <w:tcW w:type="dxa" w:w="2880"/>
          </w:tcPr>
          <w:p>
            <w:r>
              <w:t>速やかに</w:t>
            </w:r>
          </w:p>
        </w:tc>
      </w:tr>
      <w:tr>
        <w:tc>
          <w:tcPr>
            <w:tcW w:type="dxa" w:w="2880"/>
          </w:tcPr>
          <w:p>
            <w:r>
              <w:t>届出先</w:t>
            </w:r>
          </w:p>
        </w:tc>
        <w:tc>
          <w:tcPr>
            <w:tcW w:type="dxa" w:w="2880"/>
          </w:tcPr>
          <w:p>
            <w:r>
              <w:t>FinCEN</w:t>
            </w:r>
          </w:p>
        </w:tc>
        <w:tc>
          <w:tcPr>
            <w:tcW w:type="dxa" w:w="2880"/>
          </w:tcPr>
          <w:p>
            <w:r>
              <w:t>JAFIC（所管行政庁経由）</w:t>
            </w:r>
          </w:p>
        </w:tc>
      </w:tr>
      <w:tr>
        <w:tc>
          <w:tcPr>
            <w:tcW w:type="dxa" w:w="2880"/>
          </w:tcPr>
          <w:p>
            <w:r>
              <w:t>Tipping-off禁止</w:t>
            </w:r>
          </w:p>
        </w:tc>
        <w:tc>
          <w:tcPr>
            <w:tcW w:type="dxa" w:w="2880"/>
          </w:tcPr>
          <w:p>
            <w:r>
              <w:t>あり</w:t>
            </w:r>
          </w:p>
        </w:tc>
        <w:tc>
          <w:tcPr>
            <w:tcW w:type="dxa" w:w="2880"/>
          </w:tcPr>
          <w:p>
            <w:r>
              <w:t>あり（同じ）</w:t>
            </w:r>
          </w:p>
        </w:tc>
      </w:tr>
      <w:tr>
        <w:tc>
          <w:tcPr>
            <w:tcW w:type="dxa" w:w="2880"/>
          </w:tcPr>
          <w:p>
            <w:r>
              <w:t>免責（Safe Harbor）</w:t>
            </w:r>
          </w:p>
        </w:tc>
        <w:tc>
          <w:tcPr>
            <w:tcW w:type="dxa" w:w="2880"/>
          </w:tcPr>
          <w:p>
            <w:r>
              <w:t>あり</w:t>
            </w:r>
          </w:p>
        </w:tc>
        <w:tc>
          <w:tcPr>
            <w:tcW w:type="dxa" w:w="2880"/>
          </w:tcPr>
          <w:p>
            <w:r>
              <w:t>あり（同じ）</w:t>
            </w:r>
          </w:p>
        </w:tc>
      </w:tr>
      <w:tr>
        <w:tc>
          <w:tcPr>
            <w:tcW w:type="dxa" w:w="2880"/>
          </w:tcPr>
          <w:p>
            <w:r>
              <w:t>根拠法</w:t>
            </w:r>
          </w:p>
        </w:tc>
        <w:tc>
          <w:tcPr>
            <w:tcW w:type="dxa" w:w="2880"/>
          </w:tcPr>
          <w:p>
            <w:r>
              <w:t>31 CFR 1020.320</w:t>
            </w:r>
          </w:p>
        </w:tc>
        <w:tc>
          <w:tcPr>
            <w:tcW w:type="dxa" w:w="2880"/>
          </w:tcPr>
          <w:p>
            <w:r>
              <w:t>犯収法第8条</w:t>
            </w:r>
          </w:p>
        </w:tc>
      </w:tr>
    </w:tbl>
    <w:p/>
    <w:p>
      <w:r>
        <w:t>日本の特徴: 金額基準がない → 100円でも怪しければ届出義務あり</w:t>
      </w:r>
    </w:p>
    <w:p/>
    <w:p>
      <w:pPr>
        <w:pStyle w:val="Heading3"/>
      </w:pPr>
      <w:r>
        <w:t>大口現金取引：米国（CTR） vs 日本</w:t>
      </w:r>
    </w:p>
    <w:tbl>
      <w:tblPr>
        <w:tblStyle w:val="TableGrid"/>
        <w:tblW w:type="auto" w:w="0"/>
        <w:tblLook w:firstColumn="1" w:firstRow="1" w:lastColumn="0" w:lastRow="0" w:noHBand="0" w:noVBand="1" w:val="04A0"/>
      </w:tblPr>
      <w:tblGrid>
        <w:gridCol w:w="2880"/>
        <w:gridCol w:w="2880"/>
        <w:gridCol w:w="2880"/>
      </w:tblGrid>
      <w:tr>
        <w:tc>
          <w:tcPr>
            <w:tcW w:type="dxa" w:w="2880"/>
          </w:tcPr>
          <w:p>
            <w:r>
              <w:t>項目</w:t>
            </w:r>
          </w:p>
        </w:tc>
        <w:tc>
          <w:tcPr>
            <w:tcW w:type="dxa" w:w="2880"/>
          </w:tcPr>
          <w:p>
            <w:r>
              <w:t>米国（CTR）</w:t>
            </w:r>
          </w:p>
        </w:tc>
        <w:tc>
          <w:tcPr>
            <w:tcW w:type="dxa" w:w="2880"/>
          </w:tcPr>
          <w:p>
            <w:r>
              <w:t>日本</w:t>
            </w:r>
          </w:p>
        </w:tc>
      </w:tr>
      <w:tr>
        <w:tc>
          <w:tcPr>
            <w:tcW w:type="dxa" w:w="2880"/>
          </w:tcPr>
          <w:p>
            <w:r>
              <w:t>制度</w:t>
            </w:r>
          </w:p>
        </w:tc>
        <w:tc>
          <w:tcPr>
            <w:tcW w:type="dxa" w:w="2880"/>
          </w:tcPr>
          <w:p>
            <w:r>
              <w:t>大口現金 → 自動報告</w:t>
            </w:r>
          </w:p>
        </w:tc>
        <w:tc>
          <w:tcPr>
            <w:tcW w:type="dxa" w:w="2880"/>
          </w:tcPr>
          <w:p>
            <w:r>
              <w:t>大口現金 → 取引時確認（報告ではない）</w:t>
            </w:r>
          </w:p>
        </w:tc>
      </w:tr>
      <w:tr>
        <w:tc>
          <w:tcPr>
            <w:tcW w:type="dxa" w:w="2880"/>
          </w:tcPr>
          <w:p>
            <w:r>
              <w:t>閾値</w:t>
            </w:r>
          </w:p>
        </w:tc>
        <w:tc>
          <w:tcPr>
            <w:tcW w:type="dxa" w:w="2880"/>
          </w:tcPr>
          <w:p>
            <w:r>
              <w:t>$10,000超</w:t>
            </w:r>
          </w:p>
        </w:tc>
        <w:tc>
          <w:tcPr>
            <w:tcW w:type="dxa" w:w="2880"/>
          </w:tcPr>
          <w:p>
            <w:r>
              <w:t>200万円超</w:t>
            </w:r>
          </w:p>
        </w:tc>
      </w:tr>
      <w:tr>
        <w:tc>
          <w:tcPr>
            <w:tcW w:type="dxa" w:w="2880"/>
          </w:tcPr>
          <w:p>
            <w:r>
              <w:t>やること</w:t>
            </w:r>
          </w:p>
        </w:tc>
        <w:tc>
          <w:tcPr>
            <w:tcW w:type="dxa" w:w="2880"/>
          </w:tcPr>
          <w:p>
            <w:r>
              <w:t>FinCENに報告書を提出</w:t>
            </w:r>
          </w:p>
        </w:tc>
        <w:tc>
          <w:tcPr>
            <w:tcW w:type="dxa" w:w="2880"/>
          </w:tcPr>
          <w:p>
            <w:r>
              <w:t>本人確認を実施（報告は不要）</w:t>
            </w:r>
          </w:p>
        </w:tc>
      </w:tr>
      <w:tr>
        <w:tc>
          <w:tcPr>
            <w:tcW w:type="dxa" w:w="2880"/>
          </w:tcPr>
          <w:p>
            <w:r>
              <w:t>顧客に知らせる</w:t>
            </w:r>
          </w:p>
        </w:tc>
        <w:tc>
          <w:tcPr>
            <w:tcW w:type="dxa" w:w="2880"/>
          </w:tcPr>
          <w:p>
            <w:r>
              <w:t>OK（秘密ではない）</w:t>
            </w:r>
          </w:p>
        </w:tc>
        <w:tc>
          <w:tcPr>
            <w:tcW w:type="dxa" w:w="2880"/>
          </w:tcPr>
          <w:p>
            <w:r>
              <w:t>—</w:t>
            </w:r>
          </w:p>
        </w:tc>
      </w:tr>
    </w:tbl>
    <w:p/>
    <w:p>
      <w:r>
        <w:t>重要: 日本にはCTR（大口現金の自動報告）に相当する制度がない</w:t>
      </w:r>
    </w:p>
    <w:p/>
    <w:p>
      <w:pPr>
        <w:pStyle w:val="Heading3"/>
      </w:pPr>
      <w:r>
        <w:t>SAR vs CTR（米国内での違い）</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SAR</w:t>
            </w:r>
          </w:p>
        </w:tc>
        <w:tc>
          <w:tcPr>
            <w:tcW w:type="dxa" w:w="2880"/>
          </w:tcPr>
          <w:p>
            <w:r>
              <w:t>CTR</w:t>
            </w:r>
          </w:p>
        </w:tc>
      </w:tr>
      <w:tr>
        <w:tc>
          <w:tcPr>
            <w:tcW w:type="dxa" w:w="2880"/>
          </w:tcPr>
          <w:p>
            <w:r>
              <w:t>正式名</w:t>
            </w:r>
          </w:p>
        </w:tc>
        <w:tc>
          <w:tcPr>
            <w:tcW w:type="dxa" w:w="2880"/>
          </w:tcPr>
          <w:p>
            <w:r>
              <w:t>Suspicious Activity Report</w:t>
            </w:r>
          </w:p>
        </w:tc>
        <w:tc>
          <w:tcPr>
            <w:tcW w:type="dxa" w:w="2880"/>
          </w:tcPr>
          <w:p>
            <w:r>
              <w:t>Currency Transaction Report</w:t>
            </w:r>
          </w:p>
        </w:tc>
      </w:tr>
      <w:tr>
        <w:tc>
          <w:tcPr>
            <w:tcW w:type="dxa" w:w="2880"/>
          </w:tcPr>
          <w:p>
            <w:r>
              <w:t>いつ出す</w:t>
            </w:r>
          </w:p>
        </w:tc>
        <w:tc>
          <w:tcPr>
            <w:tcW w:type="dxa" w:w="2880"/>
          </w:tcPr>
          <w:p>
            <w:r>
              <w:t>怪しい取引を検知したとき</w:t>
            </w:r>
          </w:p>
        </w:tc>
        <w:tc>
          <w:tcPr>
            <w:tcW w:type="dxa" w:w="2880"/>
          </w:tcPr>
          <w:p>
            <w:r>
              <w:t>$10,000超の現金取引があったとき</w:t>
            </w:r>
          </w:p>
        </w:tc>
      </w:tr>
      <w:tr>
        <w:tc>
          <w:tcPr>
            <w:tcW w:type="dxa" w:w="2880"/>
          </w:tcPr>
          <w:p>
            <w:r>
              <w:t>判断</w:t>
            </w:r>
          </w:p>
        </w:tc>
        <w:tc>
          <w:tcPr>
            <w:tcW w:type="dxa" w:w="2880"/>
          </w:tcPr>
          <w:p>
            <w:r>
              <w:t>銀行員の判断が必要</w:t>
            </w:r>
          </w:p>
        </w:tc>
        <w:tc>
          <w:tcPr>
            <w:tcW w:type="dxa" w:w="2880"/>
          </w:tcPr>
          <w:p>
            <w:r>
              <w:t>自動的（金額で機械的に決まる）</w:t>
            </w:r>
          </w:p>
        </w:tc>
      </w:tr>
      <w:tr>
        <w:tc>
          <w:tcPr>
            <w:tcW w:type="dxa" w:w="2880"/>
          </w:tcPr>
          <w:p>
            <w:r>
              <w:t>閾値</w:t>
            </w:r>
          </w:p>
        </w:tc>
        <w:tc>
          <w:tcPr>
            <w:tcW w:type="dxa" w:w="2880"/>
          </w:tcPr>
          <w:p>
            <w:r>
              <w:t>$5,000以上（ML関連）</w:t>
            </w:r>
          </w:p>
        </w:tc>
        <w:tc>
          <w:tcPr>
            <w:tcW w:type="dxa" w:w="2880"/>
          </w:tcPr>
          <w:p>
            <w:r>
              <w:t>$10,000超</w:t>
            </w:r>
          </w:p>
        </w:tc>
      </w:tr>
      <w:tr>
        <w:tc>
          <w:tcPr>
            <w:tcW w:type="dxa" w:w="2880"/>
          </w:tcPr>
          <w:p>
            <w:r>
              <w:t>顧客に伝える</w:t>
            </w:r>
          </w:p>
        </w:tc>
        <w:tc>
          <w:tcPr>
            <w:tcW w:type="dxa" w:w="2880"/>
          </w:tcPr>
          <w:p>
            <w:r>
              <w:t>絶対ダメ（Tipping-off）</w:t>
            </w:r>
          </w:p>
        </w:tc>
        <w:tc>
          <w:tcPr>
            <w:tcW w:type="dxa" w:w="2880"/>
          </w:tcPr>
          <w:p>
            <w:r>
              <w:t>知られてもOK</w:t>
            </w:r>
          </w:p>
        </w:tc>
      </w:tr>
    </w:tbl>
    <w:p/>
    <w:p>
      <w:r>
        <w:t>覚え方:</w:t>
      </w:r>
    </w:p>
    <w:p>
      <w:r>
        <w:t xml:space="preserve">  SAR = 怪しいから出す（$5,000・判断必要・秘密）</w:t>
      </w:r>
    </w:p>
    <w:p>
      <w:r>
        <w:t xml:space="preserve">  CTR = 金額が大きいから自動で出す（$10,000・機械的・秘密じゃない）</w:t>
      </w:r>
    </w:p>
    <w:p/>
    <w:p>
      <w:pPr>
        <w:pStyle w:val="Heading3"/>
      </w:pPr>
      <w:r>
        <w:t>制度の全体像</w:t>
      </w:r>
    </w:p>
    <w:p>
      <w:r>
        <w:t>米国 = 2本立て（SAR + CTR）= 数字が多い</w:t>
      </w:r>
    </w:p>
    <w:p>
      <w:r>
        <w:t>日本 = 1本（疑わしい取引の届出）= シンプル</w:t>
      </w:r>
    </w:p>
    <w:p/>
    <w:p>
      <w:pPr>
        <w:pStyle w:val="Heading3"/>
      </w:pPr>
      <w:r>
        <w:t>試験での引っ掛けパターン（要注意！）</w:t>
      </w:r>
    </w:p>
    <w:p>
      <w:r>
        <w:t>■ CAMS試験での罠:</w:t>
      </w:r>
    </w:p>
    <w:p>
      <w:r>
        <w:t xml:space="preserve">  ❌ $50,000 ← ゼロ1個多い</w:t>
      </w:r>
    </w:p>
    <w:p>
      <w:r>
        <w:t xml:space="preserve">  ❌ 金額基準なし ← 日本の知識で答えてしまう</w:t>
      </w:r>
    </w:p>
    <w:p>
      <w:r>
        <w:t xml:space="preserve">  ✅ $5,000（ML関連SAR）</w:t>
      </w:r>
    </w:p>
    <w:p/>
    <w:p>
      <w:r>
        <w:t>■ 日本AML試験での罠:</w:t>
      </w:r>
    </w:p>
    <w:p>
      <w:r>
        <w:t xml:space="preserve">  ❌ $5,000以上 ← CAMSの知識で答えてしまう</w:t>
      </w:r>
    </w:p>
    <w:p>
      <w:r>
        <w:t xml:space="preserve">  ❌ 200万円以上 ← 取引時確認の閾値と混同</w:t>
      </w:r>
    </w:p>
    <w:p>
      <w:r>
        <w:t xml:space="preserve">  ✅ 金額基準なし</w:t>
      </w:r>
    </w:p>
    <w:p/>
    <w:p>
      <w:r>
        <w:t>両方勉強しているからこそ混同しやすい。試験ごとに切り替えて答えること。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