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36"/>
        </w:rPr>
        <w:t>フィッシング耐性のある多要素認証等に係る</w:t>
        <w:br/>
        <w:t>官民一体・業界横断的な広報について</w:t>
      </w:r>
    </w:p>
    <w:p>
      <w:pPr>
        <w:jc w:val="center"/>
      </w:pPr>
      <w:r>
        <w:rPr>
          <w:color w:val="646464"/>
          <w:sz w:val="22"/>
        </w:rPr>
        <w:t>金融庁 令和8年（2026年）4月16日 公表</w:t>
      </w:r>
    </w:p>
    <w:p/>
    <w:p>
      <w:pPr>
        <w:pStyle w:val="Heading1"/>
      </w:pPr>
      <w:r>
        <w:t>目次</w:t>
      </w:r>
    </w:p>
    <w:p>
      <w:r>
        <w:fldChar w:fldCharType="begin"/>
      </w:r>
      <w:r>
        <w:instrText xml:space="preserve"> TOC \o "1-2" \h \z \u </w:instrText>
      </w:r>
      <w:r>
        <w:fldChar w:fldCharType="separate"/>
      </w:r>
      <w:r>
        <w:rPr>
          <w:sz w:val="22"/>
        </w:rPr>
        <w:t>1. 背景</w:t>
        <w:br/>
      </w:r>
      <w:r>
        <w:rPr>
          <w:sz w:val="22"/>
        </w:rPr>
        <w:t>2. 連携機関</w:t>
        <w:br/>
      </w:r>
      <w:r>
        <w:rPr>
          <w:sz w:val="22"/>
        </w:rPr>
        <w:t>3. 公開された広報コンテンツ</w:t>
        <w:br/>
      </w:r>
      <w:r>
        <w:rPr>
          <w:color w:val="505050"/>
          <w:sz w:val="20"/>
        </w:rPr>
        <w:t xml:space="preserve">    3.1 チラシ（5種類）</w:t>
        <w:br/>
      </w:r>
      <w:r>
        <w:rPr>
          <w:color w:val="505050"/>
          <w:sz w:val="20"/>
        </w:rPr>
        <w:t xml:space="preserve">    3.2 広報動画（4種類）</w:t>
        <w:br/>
      </w:r>
      <w:r>
        <w:rPr>
          <w:sz w:val="22"/>
        </w:rPr>
        <w:t>4. メッセージの要点</w:t>
        <w:br/>
      </w:r>
      <w:r>
        <w:rPr>
          <w:color w:val="505050"/>
          <w:sz w:val="20"/>
        </w:rPr>
        <w:t xml:space="preserve">    4.1 多要素認証について</w:t>
        <w:br/>
      </w:r>
      <w:r>
        <w:rPr>
          <w:color w:val="505050"/>
          <w:sz w:val="20"/>
        </w:rPr>
        <w:t xml:space="preserve">    4.2 フィッシングメール注意喚起について</w:t>
        <w:br/>
      </w:r>
      <w:r>
        <w:rPr>
          <w:sz w:val="22"/>
        </w:rPr>
        <w:t>5. 実務的な示唆</w:t>
        <w:br/>
      </w:r>
      <w:r>
        <w:rPr>
          <w:sz w:val="22"/>
        </w:rPr>
        <w:t>6. 出典</w:t>
        <w:br/>
      </w:r>
      <w:r>
        <w:fldChar w:fldCharType="end"/>
      </w:r>
    </w:p>
    <w:p>
      <w:r>
        <w:br w:type="page"/>
      </w:r>
    </w:p>
    <w:p>
      <w:pPr>
        <w:pStyle w:val="Heading1"/>
      </w:pPr>
      <w:r>
        <w:t>1. 背景</w:t>
      </w:r>
    </w:p>
    <w:p>
      <w:r>
        <w:t>金融機関を騙ったフィッシングによる不正送金・不正取引被害が増加している。金融庁では、フィッシング耐性のある多要素認証の導入等を盛り込んだ監督指針・事務ガイドラインの改正を実施している。</w:t>
      </w:r>
    </w:p>
    <w:p>
      <w:r>
        <w:t>規制対応にとどまらず、一般国民向けの広報に踏み込んだ取り組みとして、銀行・信用金庫・信用組合・労働金庫・証券会社と金融庁・警察庁が連携し、フィッシングメールへの注意喚起およびフィッシング耐性のある多要素認証を国民に周知するため、官民一体・業界横断的な広報コンテンツを作成した。</w:t>
      </w:r>
    </w:p>
    <w:p>
      <w:pPr>
        <w:pStyle w:val="Heading1"/>
      </w:pPr>
      <w:r>
        <w:t>2. 連携機関</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区分</w:t>
            </w:r>
          </w:p>
        </w:tc>
        <w:tc>
          <w:tcPr>
            <w:tcW w:type="dxa" w:w="4320"/>
          </w:tcPr>
          <w:p>
            <w:r>
              <w:rPr>
                <w:b/>
              </w:rPr>
              <w:t>機関名</w:t>
            </w:r>
          </w:p>
        </w:tc>
      </w:tr>
      <w:tr>
        <w:tc>
          <w:tcPr>
            <w:tcW w:type="dxa" w:w="4320"/>
          </w:tcPr>
          <w:p>
            <w:r>
              <w:t>官</w:t>
            </w:r>
          </w:p>
        </w:tc>
        <w:tc>
          <w:tcPr>
            <w:tcW w:type="dxa" w:w="4320"/>
          </w:tcPr>
          <w:p>
            <w:r>
              <w:t>金融庁、警察庁</w:t>
            </w:r>
          </w:p>
        </w:tc>
      </w:tr>
      <w:tr>
        <w:tc>
          <w:tcPr>
            <w:tcW w:type="dxa" w:w="4320"/>
          </w:tcPr>
          <w:p>
            <w:r>
              <w:t>民</w:t>
            </w:r>
          </w:p>
        </w:tc>
        <w:tc>
          <w:tcPr>
            <w:tcW w:type="dxa" w:w="4320"/>
          </w:tcPr>
          <w:p>
            <w:r>
              <w:t>銀行、信用金庫、信用組合、労働金庫、証券会社</w:t>
            </w:r>
          </w:p>
        </w:tc>
      </w:tr>
    </w:tbl>
    <w:p>
      <w:pPr>
        <w:pStyle w:val="Heading1"/>
      </w:pPr>
      <w:r>
        <w:t>3. 公開された広報コンテンツ</w:t>
      </w:r>
    </w:p>
    <w:p>
      <w:pPr>
        <w:pStyle w:val="Heading2"/>
      </w:pPr>
      <w:r>
        <w:t>3.1 チラシ（5種類）</w:t>
      </w:r>
    </w:p>
    <w:p>
      <w:pPr>
        <w:pStyle w:val="ListBullet"/>
      </w:pPr>
      <w:r>
        <w:t>概要版（1種）</w:t>
      </w:r>
    </w:p>
    <w:p>
      <w:pPr>
        <w:pStyle w:val="ListBullet"/>
      </w:pPr>
      <w:r>
        <w:t>多要素認証編 — 概要版</w:t>
      </w:r>
    </w:p>
    <w:p>
      <w:pPr>
        <w:pStyle w:val="ListBullet"/>
      </w:pPr>
      <w:r>
        <w:t>多要素認証編 — 詳細版</w:t>
      </w:r>
    </w:p>
    <w:p>
      <w:pPr>
        <w:pStyle w:val="ListBullet"/>
      </w:pPr>
      <w:r>
        <w:t>フィッシングメール注意喚起編 — 概要版</w:t>
      </w:r>
    </w:p>
    <w:p>
      <w:pPr>
        <w:pStyle w:val="ListBullet"/>
      </w:pPr>
      <w:r>
        <w:t>フィッシングメール注意喚起編 — 詳細版</w:t>
      </w:r>
    </w:p>
    <w:p>
      <w:pPr>
        <w:pStyle w:val="Heading2"/>
      </w:pPr>
      <w:r>
        <w:t>3.2 広報動画（4種類）</w:t>
      </w:r>
    </w:p>
    <w:p>
      <w:pPr>
        <w:pStyle w:val="ListBullet"/>
      </w:pPr>
      <w:r>
        <w:t>多要素認証編 — ドラマ編</w:t>
      </w:r>
    </w:p>
    <w:p>
      <w:pPr>
        <w:pStyle w:val="ListBullet"/>
      </w:pPr>
      <w:r>
        <w:t>多要素認証編 — マンガ編</w:t>
      </w:r>
    </w:p>
    <w:p>
      <w:pPr>
        <w:pStyle w:val="ListBullet"/>
      </w:pPr>
      <w:r>
        <w:t>フィッシングメール注意喚起編 — ドラマ編</w:t>
      </w:r>
    </w:p>
    <w:p>
      <w:pPr>
        <w:pStyle w:val="ListBullet"/>
      </w:pPr>
      <w:r>
        <w:t>フィッシングメール注意喚起編 — マンガ編</w:t>
      </w:r>
    </w:p>
    <w:p>
      <w:pPr>
        <w:pStyle w:val="Heading1"/>
      </w:pPr>
      <w:r>
        <w:t>4. メッセージの要点</w:t>
      </w:r>
    </w:p>
    <w:p>
      <w:pPr>
        <w:pStyle w:val="Heading2"/>
      </w:pPr>
      <w:r>
        <w:t>4.1 多要素認証について</w:t>
      </w:r>
    </w:p>
    <w:p>
      <w:pPr>
        <w:pStyle w:val="ListBullet"/>
      </w:pPr>
      <w:r>
        <w:t>金融犯罪者はなりすましが得意であり、フィッシングに耐性のある多要素認証が有効である。</w:t>
      </w:r>
    </w:p>
    <w:p>
      <w:pPr>
        <w:pStyle w:val="ListBullet"/>
      </w:pPr>
      <w:r>
        <w:t>従来のパスワードのみの対策では危険である。</w:t>
      </w:r>
    </w:p>
    <w:p>
      <w:pPr>
        <w:pStyle w:val="ListBullet"/>
      </w:pPr>
      <w:r>
        <w:t>パスキー・PKI認証が利用者を守る有効な手段である。</w:t>
      </w:r>
    </w:p>
    <w:p>
      <w:pPr>
        <w:pStyle w:val="Heading2"/>
      </w:pPr>
      <w:r>
        <w:t>4.2 フィッシングメール注意喚起について</w:t>
      </w:r>
    </w:p>
    <w:p>
      <w:pPr>
        <w:pStyle w:val="ListBullet"/>
      </w:pPr>
      <w:r>
        <w:t>偽サイトは見た目では区別がつかないため、「正規アクセス」が有効である。</w:t>
      </w:r>
    </w:p>
    <w:p>
      <w:pPr>
        <w:pStyle w:val="ListBullet"/>
      </w:pPr>
      <w:r>
        <w:t>メールやSMSに記載されたURLリンクは危険である。</w:t>
      </w:r>
    </w:p>
    <w:p>
      <w:pPr>
        <w:pStyle w:val="ListBullet"/>
      </w:pPr>
      <w:r>
        <w:t>金融機関名のメールでも偽物の場合がある。送信アドレスやリンクを確認すること。</w:t>
      </w:r>
    </w:p>
    <w:p>
      <w:pPr>
        <w:pStyle w:val="ListBullet"/>
      </w:pPr>
      <w:r>
        <w:t>ブックマークした公式サイトや公式アプリからアクセスすること。</w:t>
      </w:r>
    </w:p>
    <w:p>
      <w:pPr>
        <w:pStyle w:val="Heading1"/>
      </w:pPr>
      <w:r>
        <w:t>5. 実務的な示唆</w:t>
      </w:r>
    </w:p>
    <w:p>
      <w:r>
        <w:t>今回公開された5種類のチラシは、金融庁・警察庁公認の標準的な表現として、自社のフィッシング情報ページの改訂や注意喚起設計を進める上で参照価値が高い。</w:t>
      </w:r>
    </w:p>
    <w:p>
      <w:r>
        <w:t>特に「正規アクセス」「パスキー・PKI認証」という用語の使い方は、フィッシング対策のギャップ分析における表現案の裏付け資料として活用できる。</w:t>
      </w:r>
    </w:p>
    <w:p>
      <w:pPr>
        <w:pStyle w:val="Heading1"/>
      </w:pPr>
      <w:r>
        <w:t>6. 出典</w:t>
      </w:r>
    </w:p>
    <w:p>
      <w:r>
        <w:t xml:space="preserve">金融庁ウェブサイト: </w:t>
      </w:r>
      <w:r>
        <w:rPr>
          <w:color w:val="0000FF"/>
          <w:u w:val="single"/>
        </w:rPr>
        <w:t>https://www.fsa.go.jp/news/r7/sonota/20260416-2/20260416-2.html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