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pPr>
      <w:r>
        <w:rPr>
          <w:rFonts w:ascii="Arial" w:cs="Arial" w:eastAsia="Arial" w:hAnsi="Arial"/>
          <w:b/>
          <w:bCs/>
          <w:color w:val="1a1917"/>
          <w:sz w:val="64"/>
          <w:szCs w:val="64"/>
        </w:rPr>
        <w:t xml:space="preserve">PolicyHub</w:t>
      </w:r>
    </w:p>
    <w:p>
      <w:pPr>
        <w:spacing w:after="160"/>
      </w:pPr>
      <w:r>
        <w:rPr>
          <w:rFonts w:ascii="Arial" w:cs="Arial" w:eastAsia="Arial" w:hAnsi="Arial"/>
          <w:color w:val="6b6a67"/>
          <w:sz w:val="36"/>
          <w:szCs w:val="36"/>
        </w:rPr>
        <w:t xml:space="preserve">Architecture Decision Records</w:t>
      </w:r>
    </w:p>
    <w:p>
      <w:pPr>
        <w:pBdr>
          <w:bottom w:val="single" w:color="E0DDD8" w:sz="2"/>
        </w:pBdr>
        <w:spacing w:after="160"/>
      </w:pPr>
    </w:p>
    <w:p>
      <w:pPr>
        <w:spacing w:after="280"/>
      </w:pPr>
      <w:r>
        <w:rPr>
          <w:rFonts w:ascii="Arial" w:cs="Arial" w:eastAsia="Arial" w:hAnsi="Arial"/>
          <w:color w:val="9e9d9a"/>
          <w:sz w:val="18"/>
          <w:szCs w:val="18"/>
        </w:rPr>
        <w:t xml:space="preserve">Version 1.0  ·  March 2026  ·  Confidential</w:t>
      </w:r>
    </w:p>
    <w:p>
      <w:pPr>
        <w:spacing w:after="120"/>
      </w:pPr>
      <w:r>
        <w:rPr>
          <w:rFonts w:ascii="Arial" w:cs="Arial" w:eastAsia="Arial" w:hAnsi="Arial"/>
          <w:color w:val="1a1917"/>
          <w:sz w:val="20"/>
          <w:szCs w:val="20"/>
        </w:rPr>
        <w:t xml:space="preserve">This document records the significant architectural decisions made during the design of PolicyHub — a git-backed policy management platform with structured approval workflows, role-based reader portal, and AI-powered policy bot.</w:t>
      </w:r>
    </w:p>
    <w:p>
      <w:pPr>
        <w:spacing w:after="120"/>
      </w:pPr>
      <w:r>
        <w:rPr>
          <w:rFonts w:ascii="Arial" w:cs="Arial" w:eastAsia="Arial" w:hAnsi="Arial"/>
          <w:color w:val="1a1917"/>
          <w:sz w:val="20"/>
          <w:szCs w:val="20"/>
        </w:rPr>
        <w:t xml:space="preserve">Each ADR records: the context that made a decision necessary, the decision taken, the alternatives considered, and the consequences (positive, negative, and risk mitigations).</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626"/>
      </w:tblGrid>
      <w:tr>
        <w:trPr>
          <w:tblHeader/>
        </w:trPr>
        <w:tc>
          <w:tcPr>
            <w:tcW w:type="dxa" w:w="1400"/>
            <w:tcBorders>
              <w:top w:val="single" w:color="E0DDD8" w:sz="1"/>
              <w:left w:val="single" w:color="E0DDD8" w:sz="1"/>
              <w:bottom w:val="single" w:color="E0DDD8" w:sz="1"/>
              <w:right w:val="single" w:color="E0DDD8" w:sz="1"/>
            </w:tcBorders>
            <w:shd w:fill="F6F5F2" w:val="clear"/>
            <w:tcMar>
              <w:top w:type="dxa" w:w="80"/>
              <w:left w:type="dxa" w:w="120"/>
              <w:bottom w:type="dxa" w:w="80"/>
              <w:right w:type="dxa" w:w="120"/>
            </w:tcMar>
          </w:tcPr>
          <w:p>
            <w:pPr>
              <w:spacing w:after="0"/>
            </w:pPr>
            <w:r>
              <w:rPr>
                <w:rFonts w:ascii="Arial" w:cs="Arial" w:eastAsia="Arial" w:hAnsi="Arial"/>
                <w:b/>
                <w:bCs/>
                <w:color w:val="6b6a67"/>
                <w:sz w:val="18"/>
                <w:szCs w:val="18"/>
              </w:rPr>
              <w:t xml:space="preserve">ID</w:t>
            </w:r>
          </w:p>
        </w:tc>
        <w:tc>
          <w:tcPr>
            <w:tcW w:type="dxa" w:w="1000"/>
            <w:tcBorders>
              <w:top w:val="single" w:color="E0DDD8" w:sz="1"/>
              <w:left w:val="single" w:color="E0DDD8" w:sz="1"/>
              <w:bottom w:val="single" w:color="E0DDD8" w:sz="1"/>
              <w:right w:val="single" w:color="E0DDD8" w:sz="1"/>
            </w:tcBorders>
            <w:shd w:fill="F6F5F2" w:val="clear"/>
            <w:tcMar>
              <w:top w:type="dxa" w:w="80"/>
              <w:left w:type="dxa" w:w="120"/>
              <w:bottom w:type="dxa" w:w="80"/>
              <w:right w:type="dxa" w:w="120"/>
            </w:tcMar>
          </w:tcPr>
          <w:p>
            <w:pPr>
              <w:spacing w:after="0"/>
            </w:pPr>
            <w:r>
              <w:rPr>
                <w:rFonts w:ascii="Arial" w:cs="Arial" w:eastAsia="Arial" w:hAnsi="Arial"/>
                <w:b/>
                <w:bCs/>
                <w:color w:val="6b6a67"/>
                <w:sz w:val="18"/>
                <w:szCs w:val="18"/>
              </w:rPr>
              <w:t xml:space="preserve">Status</w:t>
            </w:r>
          </w:p>
        </w:tc>
        <w:tc>
          <w:tcPr>
            <w:tcW w:type="dxa" w:w="6626"/>
            <w:tcBorders>
              <w:top w:val="single" w:color="E0DDD8" w:sz="1"/>
              <w:left w:val="single" w:color="E0DDD8" w:sz="1"/>
              <w:bottom w:val="single" w:color="E0DDD8" w:sz="1"/>
              <w:right w:val="single" w:color="E0DDD8" w:sz="1"/>
            </w:tcBorders>
            <w:shd w:fill="F6F5F2" w:val="clear"/>
            <w:tcMar>
              <w:top w:type="dxa" w:w="80"/>
              <w:left w:type="dxa" w:w="120"/>
              <w:bottom w:type="dxa" w:w="80"/>
              <w:right w:type="dxa" w:w="120"/>
            </w:tcMar>
          </w:tcPr>
          <w:p>
            <w:pPr>
              <w:spacing w:after="0"/>
            </w:pPr>
            <w:r>
              <w:rPr>
                <w:rFonts w:ascii="Arial" w:cs="Arial" w:eastAsia="Arial" w:hAnsi="Arial"/>
                <w:b/>
                <w:bCs/>
                <w:color w:val="6b6a67"/>
                <w:sz w:val="18"/>
                <w:szCs w:val="18"/>
              </w:rPr>
              <w:t xml:space="preserve">Title</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ADR-001</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GitLab CE as the policy content store</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ADR-002</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AdonisJS v7 as the application framework</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ADR-003</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Markdown as the canonical policy document format</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ADR-004</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Valkey instead of Redis for queues and caching</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ADR-005</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Typesense for full-text policy search</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ADR-006</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pgvector for RAG embeddings instead of a dedicated vector database</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ADR-007</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Pluggable IdP-agnostic authentication (OIDC)</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ADR-008</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TipTap as the policy editor</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ADR-009</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Monaco Editor for diff rendering in review and version comparison</w:t>
            </w:r>
          </w:p>
        </w:tc>
      </w:tr>
      <w:tr>
        <w:tc>
          <w:tcPr>
            <w:tcW w:type="dxa" w:w="1400"/>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b/>
                <w:bCs/>
                <w:color w:val="185FA5"/>
                <w:sz w:val="18"/>
                <w:szCs w:val="18"/>
              </w:rPr>
              <w:t xml:space="preserve">ADR-010</w:t>
            </w:r>
          </w:p>
        </w:tc>
        <w:tc>
          <w:tcPr>
            <w:tcW w:type="dxa" w:w="1000"/>
            <w:tcBorders>
              <w:top w:val="single" w:color="E0DDD8" w:sz="1"/>
              <w:left w:val="single" w:color="E0DDD8" w:sz="1"/>
              <w:bottom w:val="single" w:color="E0DDD8" w:sz="1"/>
              <w:right w:val="single" w:color="E0DDD8" w:sz="1"/>
            </w:tcBorders>
            <w:shd w:fill="E1F5EE" w:val="clear"/>
            <w:tcMar>
              <w:top w:type="dxa" w:w="60"/>
              <w:left w:type="dxa" w:w="120"/>
              <w:bottom w:type="dxa" w:w="60"/>
              <w:right w:type="dxa" w:w="120"/>
            </w:tcMar>
          </w:tcPr>
          <w:p>
            <w:pPr>
              <w:spacing w:after="0"/>
            </w:pPr>
            <w:r>
              <w:rPr>
                <w:rFonts w:ascii="Arial" w:cs="Arial" w:eastAsia="Arial" w:hAnsi="Arial"/>
                <w:color w:val="0F6E56"/>
                <w:sz w:val="18"/>
                <w:szCs w:val="18"/>
              </w:rPr>
              <w:t xml:space="preserve">Accepted</w:t>
            </w:r>
          </w:p>
        </w:tc>
        <w:tc>
          <w:tcPr>
            <w:tcW w:type="dxa" w:w="66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RAG with strict grounding for the policy bot</w:t>
            </w:r>
          </w:p>
        </w:tc>
      </w:tr>
    </w:tbl>
    <w:p>
      <w:r>
        <w:br w:type="page"/>
      </w:r>
    </w:p>
    <w:p>
      <w:pPr>
        <w:pBdr>
          <w:bottom w:val="single" w:color="E0DDD8" w:sz="2"/>
        </w:pBdr>
        <w:spacing w:after="120"/>
      </w:pPr>
      <w:r>
        <w:rPr>
          <w:rFonts w:ascii="Arial" w:cs="Arial" w:eastAsia="Arial" w:hAnsi="Arial"/>
          <w:b/>
          <w:bCs/>
          <w:color w:val="185FA5"/>
          <w:sz w:val="20"/>
          <w:szCs w:val="20"/>
        </w:rPr>
        <w:t xml:space="preserve">ADR-001</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GitLab CE as the policy content store</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PolicyHub requires a versioned document store with branching, diffing, merge operations, 
inline commenting, multi-stage approval gates, and an immutable audit trail of every content change. 
These are solved problems in version control systems. The alternative — building a custom version 
store in PostgreSQL — would require implementing content diffing, branch isolation, merge conflict 
detection, and a comparable audit trail before any policy-specific logic could be written.</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self-hosted GitLab Community Edition (CE) as the backend store for all policy 
markdown files. GitLab CE is MIT-licensed and free for commercial use. The application interacts 
with GitLab exclusively via the GitLab REST API using a service account. End users never interact 
with GitLab directly — all git operations (branch creation, commits, MR open/merge) are mediated 
through the AdonisJS application layer.</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GitHub — preferred for ecosystem size, but SAML SSO requires Enterprise Cloud tier. GitLab CE includes SAML on the free tier.</w:t>
      </w:r>
    </w:p>
    <w:p>
      <w:pPr>
        <w:pStyle w:val="ListParagraph"/>
        <w:numPr>
          <w:ilvl w:val="0"/>
          <w:numId w:val="2"/>
        </w:numPr>
        <w:spacing w:after="60"/>
      </w:pPr>
      <w:r>
        <w:rPr>
          <w:rFonts w:ascii="Arial" w:cs="Arial" w:eastAsia="Arial" w:hAnsi="Arial"/>
          <w:color w:val="1a1917"/>
          <w:sz w:val="20"/>
          <w:szCs w:val="20"/>
        </w:rPr>
        <w:t xml:space="preserve">Raw git (libgit2 / isomorphic-git) — no MR workflow, no webhook infrastructure, no branch protection rules. Would require rebuilding much of what GitLab provides.</w:t>
      </w:r>
    </w:p>
    <w:p>
      <w:pPr>
        <w:pStyle w:val="ListParagraph"/>
        <w:numPr>
          <w:ilvl w:val="0"/>
          <w:numId w:val="2"/>
        </w:numPr>
        <w:spacing w:after="60"/>
      </w:pPr>
      <w:r>
        <w:rPr>
          <w:rFonts w:ascii="Arial" w:cs="Arial" w:eastAsia="Arial" w:hAnsi="Arial"/>
          <w:color w:val="1a1917"/>
          <w:sz w:val="20"/>
          <w:szCs w:val="20"/>
        </w:rPr>
        <w:t xml:space="preserve">PostgreSQL custom version store — significant build cost with no comparable ecosystem benefits.</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Branching, diffing, MR workflow, branch protection, webhooks provided for free</w:t>
            </w:r>
          </w:p>
          <w:p>
            <w:pPr>
              <w:pStyle w:val="ListParagraph"/>
              <w:numPr>
                <w:ilvl w:val="0"/>
                <w:numId w:val="2"/>
              </w:numPr>
              <w:spacing w:after="60"/>
            </w:pPr>
            <w:r>
              <w:rPr>
                <w:rFonts w:ascii="Arial" w:cs="Arial" w:eastAsia="Arial" w:hAnsi="Arial"/>
                <w:color w:val="1a1917"/>
                <w:sz w:val="18"/>
                <w:szCs w:val="18"/>
              </w:rPr>
              <w:t xml:space="preserve">MIT licence — no commercial restrictions</w:t>
            </w:r>
          </w:p>
          <w:p>
            <w:pPr>
              <w:pStyle w:val="ListParagraph"/>
              <w:numPr>
                <w:ilvl w:val="0"/>
                <w:numId w:val="2"/>
              </w:numPr>
              <w:spacing w:after="60"/>
            </w:pPr>
            <w:r>
              <w:rPr>
                <w:rFonts w:ascii="Arial" w:cs="Arial" w:eastAsia="Arial" w:hAnsi="Arial"/>
                <w:color w:val="1a1917"/>
                <w:sz w:val="18"/>
                <w:szCs w:val="18"/>
              </w:rPr>
              <w:t xml:space="preserve">Self-hosted: policy content never leaves the organisation's infrastructure</w:t>
            </w:r>
          </w:p>
          <w:p>
            <w:pPr>
              <w:pStyle w:val="ListParagraph"/>
              <w:numPr>
                <w:ilvl w:val="0"/>
                <w:numId w:val="2"/>
              </w:numPr>
              <w:spacing w:after="60"/>
            </w:pPr>
            <w:r>
              <w:rPr>
                <w:rFonts w:ascii="Arial" w:cs="Arial" w:eastAsia="Arial" w:hAnsi="Arial"/>
                <w:color w:val="1a1917"/>
                <w:sz w:val="18"/>
                <w:szCs w:val="18"/>
              </w:rPr>
              <w:t xml:space="preserve">Immutable git history serves as a compliance-grade audit trail</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Adds an operational dependency — GitLab must be deployed and maintained</w:t>
            </w:r>
          </w:p>
          <w:p>
            <w:pPr>
              <w:pStyle w:val="ListParagraph"/>
              <w:numPr>
                <w:ilvl w:val="0"/>
                <w:numId w:val="2"/>
              </w:numPr>
              <w:spacing w:after="60"/>
            </w:pPr>
            <w:r>
              <w:rPr>
                <w:rFonts w:ascii="Arial" w:cs="Arial" w:eastAsia="Arial" w:hAnsi="Arial"/>
                <w:color w:val="1a1917"/>
                <w:sz w:val="18"/>
                <w:szCs w:val="18"/>
              </w:rPr>
              <w:t xml:space="preserve">API rate limits require request queuing in the application layer</w:t>
            </w:r>
          </w:p>
          <w:p>
            <w:pPr>
              <w:pStyle w:val="ListParagraph"/>
              <w:numPr>
                <w:ilvl w:val="0"/>
                <w:numId w:val="2"/>
              </w:numPr>
              <w:spacing w:after="60"/>
            </w:pPr>
            <w:r>
              <w:rPr>
                <w:rFonts w:ascii="Arial" w:cs="Arial" w:eastAsia="Arial" w:hAnsi="Arial"/>
                <w:color w:val="1a1917"/>
                <w:sz w:val="18"/>
                <w:szCs w:val="18"/>
              </w:rPr>
              <w:t xml:space="preserve">Developers must understand the GitLab API surface in addition to the application codebase</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GitLab outage degrades authoring; mitigated by caching rendered policies in PostgreSQL so the reader portal remains functional</w:t>
            </w:r>
          </w:p>
          <w:p>
            <w:pPr>
              <w:pStyle w:val="ListParagraph"/>
              <w:numPr>
                <w:ilvl w:val="0"/>
                <w:numId w:val="2"/>
              </w:numPr>
              <w:spacing w:after="60"/>
            </w:pPr>
            <w:r>
              <w:rPr>
                <w:rFonts w:ascii="Arial" w:cs="Arial" w:eastAsia="Arial" w:hAnsi="Arial"/>
                <w:color w:val="1a1917"/>
                <w:sz w:val="18"/>
                <w:szCs w:val="18"/>
              </w:rPr>
              <w:t xml:space="preserve">GitLab licence change; mitigated by the irrevocability of MIT on the version built upon</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ADR-002</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AdonisJS v7 as the application framework</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server layer needs: session-based auth with OIDC integration, an ORM with migrations, 
input validation, email, async job queues, file storage, rate limiting, and server-side rendering 
with React. The original architecture proposed Next.js (App Router) plus a separate Fastify 
microservice for async work. The team has prior AdonisJS experience. AdonisJS v7 launched in 
late 2025 and requires Node.js 24 (now LTS).</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AdonisJS v7 with the official React (Inertia) starter kit as the single application 
server. This replaces the originally proposed Next.js + Fastify split. AdonisJS ships auth, ORM 
(Lucid), validation (VineJS), mail, queue, storage, and rate limiting as first-party packages 
wired together by convention. Inertia.js bridges server-side routing with React page components, 
providing SSR without a separate frontend build.</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Next.js (App Router) + Fastify — requires assembling Prisma, Auth.js, BullMQ, Nodemailer separately; two deployables to manage.</w:t>
      </w:r>
    </w:p>
    <w:p>
      <w:pPr>
        <w:pStyle w:val="ListParagraph"/>
        <w:numPr>
          <w:ilvl w:val="0"/>
          <w:numId w:val="2"/>
        </w:numPr>
        <w:spacing w:after="60"/>
      </w:pPr>
      <w:r>
        <w:rPr>
          <w:rFonts w:ascii="Arial" w:cs="Arial" w:eastAsia="Arial" w:hAnsi="Arial"/>
          <w:color w:val="1a1917"/>
          <w:sz w:val="20"/>
          <w:szCs w:val="20"/>
        </w:rPr>
        <w:t xml:space="preserve">NestJS — larger enterprise ecosystem, but steeper learning curve and heavier boilerplate for this problem profile.</w:t>
      </w:r>
    </w:p>
    <w:p>
      <w:pPr>
        <w:pStyle w:val="ListParagraph"/>
        <w:numPr>
          <w:ilvl w:val="0"/>
          <w:numId w:val="2"/>
        </w:numPr>
        <w:spacing w:after="60"/>
      </w:pPr>
      <w:r>
        <w:rPr>
          <w:rFonts w:ascii="Arial" w:cs="Arial" w:eastAsia="Arial" w:hAnsi="Arial"/>
          <w:color w:val="1a1917"/>
          <w:sz w:val="20"/>
          <w:szCs w:val="20"/>
        </w:rPr>
        <w:t xml:space="preserve">AdonisJS v6 — the team's existing experience; rejected because v7 is current, production-ready, and requires no migration mid-project.</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All required server capabilities are first-party and pre-wired — no package assembly</w:t>
            </w:r>
          </w:p>
          <w:p>
            <w:pPr>
              <w:pStyle w:val="ListParagraph"/>
              <w:numPr>
                <w:ilvl w:val="0"/>
                <w:numId w:val="2"/>
              </w:numPr>
              <w:spacing w:after="60"/>
            </w:pPr>
            <w:r>
              <w:rPr>
                <w:rFonts w:ascii="Arial" w:cs="Arial" w:eastAsia="Arial" w:hAnsi="Arial"/>
                <w:color w:val="1a1917"/>
                <w:sz w:val="18"/>
                <w:szCs w:val="18"/>
              </w:rPr>
              <w:t xml:space="preserve">Single deployable instead of two</w:t>
            </w:r>
          </w:p>
          <w:p>
            <w:pPr>
              <w:pStyle w:val="ListParagraph"/>
              <w:numPr>
                <w:ilvl w:val="0"/>
                <w:numId w:val="2"/>
              </w:numPr>
              <w:spacing w:after="60"/>
            </w:pPr>
            <w:r>
              <w:rPr>
                <w:rFonts w:ascii="Arial" w:cs="Arial" w:eastAsia="Arial" w:hAnsi="Arial"/>
                <w:color w:val="1a1917"/>
                <w:sz w:val="18"/>
                <w:szCs w:val="18"/>
              </w:rPr>
              <w:t xml:space="preserve">Lucid v7 auto-generates model column definitions from migrations</w:t>
            </w:r>
          </w:p>
          <w:p>
            <w:pPr>
              <w:pStyle w:val="ListParagraph"/>
              <w:numPr>
                <w:ilvl w:val="0"/>
                <w:numId w:val="2"/>
              </w:numPr>
              <w:spacing w:after="60"/>
            </w:pPr>
            <w:r>
              <w:rPr>
                <w:rFonts w:ascii="Arial" w:cs="Arial" w:eastAsia="Arial" w:hAnsi="Arial"/>
                <w:color w:val="1a1917"/>
                <w:sz w:val="18"/>
                <w:szCs w:val="18"/>
              </w:rPr>
              <w:t xml:space="preserve">Japa's loginAs helper enables auth-bypassed testing without a running IdP</w:t>
            </w:r>
          </w:p>
          <w:p>
            <w:pPr>
              <w:pStyle w:val="ListParagraph"/>
              <w:numPr>
                <w:ilvl w:val="0"/>
                <w:numId w:val="2"/>
              </w:numPr>
              <w:spacing w:after="60"/>
            </w:pPr>
            <w:r>
              <w:rPr>
                <w:rFonts w:ascii="Arial" w:cs="Arial" w:eastAsia="Arial" w:hAnsi="Arial"/>
                <w:color w:val="1a1917"/>
                <w:sz w:val="18"/>
                <w:szCs w:val="18"/>
              </w:rPr>
              <w:t xml:space="preserve">Team familiarity — no ramp-up cost</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Smaller ecosystem than Next.js — fewer third-party resources and contractors</w:t>
            </w:r>
          </w:p>
          <w:p>
            <w:pPr>
              <w:pStyle w:val="ListParagraph"/>
              <w:numPr>
                <w:ilvl w:val="0"/>
                <w:numId w:val="2"/>
              </w:numPr>
              <w:spacing w:after="60"/>
            </w:pPr>
            <w:r>
              <w:rPr>
                <w:rFonts w:ascii="Arial" w:cs="Arial" w:eastAsia="Arial" w:hAnsi="Arial"/>
                <w:color w:val="1a1917"/>
                <w:sz w:val="18"/>
                <w:szCs w:val="18"/>
              </w:rPr>
              <w:t xml:space="preserve">v7 is recent — some edge cases may surface that are not yet documented</w:t>
            </w:r>
          </w:p>
          <w:p>
            <w:pPr>
              <w:pStyle w:val="ListParagraph"/>
              <w:numPr>
                <w:ilvl w:val="0"/>
                <w:numId w:val="2"/>
              </w:numPr>
              <w:spacing w:after="60"/>
            </w:pPr>
            <w:r>
              <w:rPr>
                <w:rFonts w:ascii="Arial" w:cs="Arial" w:eastAsia="Arial" w:hAnsi="Arial"/>
                <w:color w:val="1a1917"/>
                <w:sz w:val="18"/>
                <w:szCs w:val="18"/>
              </w:rPr>
              <w:t xml:space="preserve">Inertia SSR is functional but still settling in v7</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v7 bugs in early production: mitigated by pinning exact package versions and monitoring the AdonisJS releases feed</w:t>
            </w:r>
          </w:p>
          <w:p>
            <w:pPr>
              <w:pStyle w:val="ListParagraph"/>
              <w:numPr>
                <w:ilvl w:val="0"/>
                <w:numId w:val="2"/>
              </w:numPr>
              <w:spacing w:after="60"/>
            </w:pPr>
            <w:r>
              <w:rPr>
                <w:rFonts w:ascii="Arial" w:cs="Arial" w:eastAsia="Arial" w:hAnsi="Arial"/>
                <w:color w:val="1a1917"/>
                <w:sz w:val="18"/>
                <w:szCs w:val="18"/>
              </w:rPr>
              <w:t xml:space="preserve">Hiring: mitigated by AdonisJS's close resemblance to Laravel, which is widely known</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ADR-003</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Markdown as the canonical policy document format</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Policy documents need to be authored by non-technical users, stored in git, 
diffed meaningfully, rendered to HTML and PDF, and remain portable if the platform changes. 
Common alternatives include Word (.docx), proprietary rich-text formats, or HTML. Each has 
consequences for diff quality, portability, and rendering complexity.</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Markdown is the single canonical format for all policy content. The TipTap WYSIWYG 
editor generates and parses Markdown natively, abstracting it from non-technical authors. The 
publishing pipeline converts Markdown to HTML (via unified/remark/rehype) and PDF (via Puppeteer). 
The YAML front matter block carries machine-readable policy metadata (owner, audience, review 
date) that the publishing pipeline reads to inject the standard boilerplate.</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Word (.docx) — binary format, cannot be meaningfully diffed, requires Microsoft infrastructure, not portable.</w:t>
      </w:r>
    </w:p>
    <w:p>
      <w:pPr>
        <w:pStyle w:val="ListParagraph"/>
        <w:numPr>
          <w:ilvl w:val="0"/>
          <w:numId w:val="2"/>
        </w:numPr>
        <w:spacing w:after="60"/>
      </w:pPr>
      <w:r>
        <w:rPr>
          <w:rFonts w:ascii="Arial" w:cs="Arial" w:eastAsia="Arial" w:hAnsi="Arial"/>
          <w:color w:val="1a1917"/>
          <w:sz w:val="20"/>
          <w:szCs w:val="20"/>
        </w:rPr>
        <w:t xml:space="preserve">HTML — diffable but verbose; authoring HTML directly is hostile to non-technical users; renders complex diffs.</w:t>
      </w:r>
    </w:p>
    <w:p>
      <w:pPr>
        <w:pStyle w:val="ListParagraph"/>
        <w:numPr>
          <w:ilvl w:val="0"/>
          <w:numId w:val="2"/>
        </w:numPr>
        <w:spacing w:after="60"/>
      </w:pPr>
      <w:r>
        <w:rPr>
          <w:rFonts w:ascii="Arial" w:cs="Arial" w:eastAsia="Arial" w:hAnsi="Arial"/>
          <w:color w:val="1a1917"/>
          <w:sz w:val="20"/>
          <w:szCs w:val="20"/>
        </w:rPr>
        <w:t xml:space="preserve">AsciiDoc or reStructuredText — more powerful but less tooling support and higher author learning curve.</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Line-level diffs are human-readable — core to the PR-review approval workflow</w:t>
            </w:r>
          </w:p>
          <w:p>
            <w:pPr>
              <w:pStyle w:val="ListParagraph"/>
              <w:numPr>
                <w:ilvl w:val="0"/>
                <w:numId w:val="2"/>
              </w:numPr>
              <w:spacing w:after="60"/>
            </w:pPr>
            <w:r>
              <w:rPr>
                <w:rFonts w:ascii="Arial" w:cs="Arial" w:eastAsia="Arial" w:hAnsi="Arial"/>
                <w:color w:val="1a1917"/>
                <w:sz w:val="18"/>
                <w:szCs w:val="18"/>
              </w:rPr>
              <w:t xml:space="preserve">Renders to HTML and PDF without proprietary tooling</w:t>
            </w:r>
          </w:p>
          <w:p>
            <w:pPr>
              <w:pStyle w:val="ListParagraph"/>
              <w:numPr>
                <w:ilvl w:val="0"/>
                <w:numId w:val="2"/>
              </w:numPr>
              <w:spacing w:after="60"/>
            </w:pPr>
            <w:r>
              <w:rPr>
                <w:rFonts w:ascii="Arial" w:cs="Arial" w:eastAsia="Arial" w:hAnsi="Arial"/>
                <w:color w:val="1a1917"/>
                <w:sz w:val="18"/>
                <w:szCs w:val="18"/>
              </w:rPr>
              <w:t xml:space="preserve">Portable — content survives a platform change</w:t>
            </w:r>
          </w:p>
          <w:p>
            <w:pPr>
              <w:pStyle w:val="ListParagraph"/>
              <w:numPr>
                <w:ilvl w:val="0"/>
                <w:numId w:val="2"/>
              </w:numPr>
              <w:spacing w:after="60"/>
            </w:pPr>
            <w:r>
              <w:rPr>
                <w:rFonts w:ascii="Arial" w:cs="Arial" w:eastAsia="Arial" w:hAnsi="Arial"/>
                <w:color w:val="1a1917"/>
                <w:sz w:val="18"/>
                <w:szCs w:val="18"/>
              </w:rPr>
              <w:t xml:space="preserve">Plain text — no binary corruption, works with any git host</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Non-technical authors must be shielded from raw Markdown via the WYSIWYG editor</w:t>
            </w:r>
          </w:p>
          <w:p>
            <w:pPr>
              <w:pStyle w:val="ListParagraph"/>
              <w:numPr>
                <w:ilvl w:val="0"/>
                <w:numId w:val="2"/>
              </w:numPr>
              <w:spacing w:after="60"/>
            </w:pPr>
            <w:r>
              <w:rPr>
                <w:rFonts w:ascii="Arial" w:cs="Arial" w:eastAsia="Arial" w:hAnsi="Arial"/>
                <w:color w:val="1a1917"/>
                <w:sz w:val="18"/>
                <w:szCs w:val="18"/>
              </w:rPr>
              <w:t xml:space="preserve">Complex formatting (multi-level tables, complex callouts) requires author discipline</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Author uses Markdown source mode and introduces syntax errors: mitigated by server-side Markdown validation on save</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ADR-004</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Valkey instead of Redis for queues and caching</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BullMQ (the queue library used by @adonisjs/queue) requires a Redis-compatible 
server. Redis 7.4+ moved to a dual RSALv2/SSPLv1 licence; Redis 8.0 added AGPLv3. AGPL's 
network clause requires source code disclosure for any SaaS product running AGPL dependencies, 
which would prevent commercial distribution of PolicyHub without open-sourcing the codebase.</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Valkey as a drop-in replacement for Redis. Valkey is a Linux Foundation project 
(governed neutrally, no single-vendor control) forked from the last BSD-3-Clause Redis release 
(7.2.4). It maintains full wire compatibility with Redis 7.2 — no client code changes are 
required. BullMQ, @adonisjs/redis, and all Redis-compatible libraries work unmodified.</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Redis ≤7.2 (BSD-3-Clause) — remains legally usable but receives no security updates post-March 2024.</w:t>
      </w:r>
    </w:p>
    <w:p>
      <w:pPr>
        <w:pStyle w:val="ListParagraph"/>
        <w:numPr>
          <w:ilvl w:val="0"/>
          <w:numId w:val="2"/>
        </w:numPr>
        <w:spacing w:after="60"/>
      </w:pPr>
      <w:r>
        <w:rPr>
          <w:rFonts w:ascii="Arial" w:cs="Arial" w:eastAsia="Arial" w:hAnsi="Arial"/>
          <w:color w:val="1a1917"/>
          <w:sz w:val="20"/>
          <w:szCs w:val="20"/>
        </w:rPr>
        <w:t xml:space="preserve">Redis 7.4+ under RSALv2 — permits use if not offering Redis as a managed service; legal ambiguity around SaaS products.</w:t>
      </w:r>
    </w:p>
    <w:p>
      <w:pPr>
        <w:pStyle w:val="ListParagraph"/>
        <w:numPr>
          <w:ilvl w:val="0"/>
          <w:numId w:val="2"/>
        </w:numPr>
        <w:spacing w:after="60"/>
      </w:pPr>
      <w:r>
        <w:rPr>
          <w:rFonts w:ascii="Arial" w:cs="Arial" w:eastAsia="Arial" w:hAnsi="Arial"/>
          <w:color w:val="1a1917"/>
          <w:sz w:val="20"/>
          <w:szCs w:val="20"/>
        </w:rPr>
        <w:t xml:space="preserve">Redis 8.0+ under AGPLv3 — incompatible with closed-source commercial distribution without full source disclosure.</w:t>
      </w:r>
    </w:p>
    <w:p>
      <w:pPr>
        <w:pStyle w:val="ListParagraph"/>
        <w:numPr>
          <w:ilvl w:val="0"/>
          <w:numId w:val="2"/>
        </w:numPr>
        <w:spacing w:after="60"/>
      </w:pPr>
      <w:r>
        <w:rPr>
          <w:rFonts w:ascii="Arial" w:cs="Arial" w:eastAsia="Arial" w:hAnsi="Arial"/>
          <w:color w:val="1a1917"/>
          <w:sz w:val="20"/>
          <w:szCs w:val="20"/>
        </w:rPr>
        <w:t xml:space="preserve">Dragonfly or KeyDB — Redis-compatible alternatives; less institutional backing than Valkey.</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BSD-3-Clause licence — unambiguously compatible with closed-source commercial distribution</w:t>
            </w:r>
          </w:p>
          <w:p>
            <w:pPr>
              <w:pStyle w:val="ListParagraph"/>
              <w:numPr>
                <w:ilvl w:val="0"/>
                <w:numId w:val="2"/>
              </w:numPr>
              <w:spacing w:after="60"/>
            </w:pPr>
            <w:r>
              <w:rPr>
                <w:rFonts w:ascii="Arial" w:cs="Arial" w:eastAsia="Arial" w:hAnsi="Arial"/>
                <w:color w:val="1a1917"/>
                <w:sz w:val="18"/>
                <w:szCs w:val="18"/>
              </w:rPr>
              <w:t xml:space="preserve">Drop-in replacement — zero code changes required</w:t>
            </w:r>
          </w:p>
          <w:p>
            <w:pPr>
              <w:pStyle w:val="ListParagraph"/>
              <w:numPr>
                <w:ilvl w:val="0"/>
                <w:numId w:val="2"/>
              </w:numPr>
              <w:spacing w:after="60"/>
            </w:pPr>
            <w:r>
              <w:rPr>
                <w:rFonts w:ascii="Arial" w:cs="Arial" w:eastAsia="Arial" w:hAnsi="Arial"/>
                <w:color w:val="1a1917"/>
                <w:sz w:val="18"/>
                <w:szCs w:val="18"/>
              </w:rPr>
              <w:t xml:space="preserve">Backed by AWS, Google Cloud, Oracle, Linux Foundation — long-term sustainability assured</w:t>
            </w:r>
          </w:p>
          <w:p>
            <w:pPr>
              <w:pStyle w:val="ListParagraph"/>
              <w:numPr>
                <w:ilvl w:val="0"/>
                <w:numId w:val="2"/>
              </w:numPr>
              <w:spacing w:after="60"/>
            </w:pPr>
            <w:r>
              <w:rPr>
                <w:rFonts w:ascii="Arial" w:cs="Arial" w:eastAsia="Arial" w:hAnsi="Arial"/>
                <w:color w:val="1a1917"/>
                <w:sz w:val="18"/>
                <w:szCs w:val="18"/>
              </w:rPr>
              <w:t xml:space="preserve">AWS ElastiCache already defaults new clusters to Valkey</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Slightly less name recognition than Redis — may cause brief confusion in onboarding</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Valkey diverges from Redis API over time: mitigated by the wire-compatibility guarantee and the neutrality of Linux Foundation governance</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ADR-005</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Typesense for full-text policy search</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reader portal requires fast, typo-tolerant full-text search over policy titles 
and body content. Search results must be role-filtered at query time — a user must never receive 
results for policies they are not permitted to read, even by crafting search queries. Options 
include Elasticsearch/OpenSearch, Algolia, and Typesense.</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Typesense as the search engine, self-hosted on a small dedicated VM. Typesense 
provides sub-50ms typo-tolerant search. Role filtering is applied via Typesense's filter_by 
parameter at query time — the user's audience group IDs are embedded in every search request, 
preventing result leakage at the search layer rather than relying on post-retrieval filtering.</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Elasticsearch/OpenSearch — operationally complex (JVM, cluster management), significant overhead for a policy library at this scale.</w:t>
      </w:r>
    </w:p>
    <w:p>
      <w:pPr>
        <w:pStyle w:val="ListParagraph"/>
        <w:numPr>
          <w:ilvl w:val="0"/>
          <w:numId w:val="2"/>
        </w:numPr>
        <w:spacing w:after="60"/>
      </w:pPr>
      <w:r>
        <w:rPr>
          <w:rFonts w:ascii="Arial" w:cs="Arial" w:eastAsia="Arial" w:hAnsi="Arial"/>
          <w:color w:val="1a1917"/>
          <w:sz w:val="20"/>
          <w:szCs w:val="20"/>
        </w:rPr>
        <w:t xml:space="preserve">Algolia — managed SaaS; policy content would leave the organisation's infrastructure; ongoing per-request cost.</w:t>
      </w:r>
    </w:p>
    <w:p>
      <w:pPr>
        <w:pStyle w:val="ListParagraph"/>
        <w:numPr>
          <w:ilvl w:val="0"/>
          <w:numId w:val="2"/>
        </w:numPr>
        <w:spacing w:after="60"/>
      </w:pPr>
      <w:r>
        <w:rPr>
          <w:rFonts w:ascii="Arial" w:cs="Arial" w:eastAsia="Arial" w:hAnsi="Arial"/>
          <w:color w:val="1a1917"/>
          <w:sz w:val="20"/>
          <w:szCs w:val="20"/>
        </w:rPr>
        <w:t xml:space="preserve">PostgreSQL full-text search — simpler operationally but lacks typo tolerance, relevance ranking, and excerpt highlighting.</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Single binary, no JVM — simple to operate</w:t>
            </w:r>
          </w:p>
          <w:p>
            <w:pPr>
              <w:pStyle w:val="ListParagraph"/>
              <w:numPr>
                <w:ilvl w:val="0"/>
                <w:numId w:val="2"/>
              </w:numPr>
              <w:spacing w:after="60"/>
            </w:pPr>
            <w:r>
              <w:rPr>
                <w:rFonts w:ascii="Arial" w:cs="Arial" w:eastAsia="Arial" w:hAnsi="Arial"/>
                <w:color w:val="1a1917"/>
                <w:sz w:val="18"/>
                <w:szCs w:val="18"/>
              </w:rPr>
              <w:t xml:space="preserve">Typo tolerance and relevance ranking out of the box</w:t>
            </w:r>
          </w:p>
          <w:p>
            <w:pPr>
              <w:pStyle w:val="ListParagraph"/>
              <w:numPr>
                <w:ilvl w:val="0"/>
                <w:numId w:val="2"/>
              </w:numPr>
              <w:spacing w:after="60"/>
            </w:pPr>
            <w:r>
              <w:rPr>
                <w:rFonts w:ascii="Arial" w:cs="Arial" w:eastAsia="Arial" w:hAnsi="Arial"/>
                <w:color w:val="1a1917"/>
                <w:sz w:val="18"/>
                <w:szCs w:val="18"/>
              </w:rPr>
              <w:t xml:space="preserve">Role filtering enforced at query time — RBAC at the search layer</w:t>
            </w:r>
          </w:p>
          <w:p>
            <w:pPr>
              <w:pStyle w:val="ListParagraph"/>
              <w:numPr>
                <w:ilvl w:val="0"/>
                <w:numId w:val="2"/>
              </w:numPr>
              <w:spacing w:after="60"/>
            </w:pPr>
            <w:r>
              <w:rPr>
                <w:rFonts w:ascii="Arial" w:cs="Arial" w:eastAsia="Arial" w:hAnsi="Arial"/>
                <w:color w:val="1a1917"/>
                <w:sz w:val="18"/>
                <w:szCs w:val="18"/>
              </w:rPr>
              <w:t xml:space="preserve">Client libraries are Apache 2.0 licensed — no copyleft concern</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Typesense server is GPL-3.0 — modifications to the server binary must be open-sourced (not an issue if running unmodified)</w:t>
            </w:r>
          </w:p>
          <w:p>
            <w:pPr>
              <w:pStyle w:val="ListParagraph"/>
              <w:numPr>
                <w:ilvl w:val="0"/>
                <w:numId w:val="2"/>
              </w:numPr>
              <w:spacing w:after="60"/>
            </w:pPr>
            <w:r>
              <w:rPr>
                <w:rFonts w:ascii="Arial" w:cs="Arial" w:eastAsia="Arial" w:hAnsi="Arial"/>
                <w:color w:val="1a1917"/>
                <w:sz w:val="18"/>
                <w:szCs w:val="18"/>
              </w:rPr>
              <w:t xml:space="preserve">Additional service to operate and monitor</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Typesense memory usage grows with corpus size: mitigated by monitoring and right-sizing the VM; 1M documents ≈ 165MB</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ADR-006</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pgvector for RAG embeddings instead of a dedicated vector database</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policy bot requires semantic vector search over policy content chunks. 
Dedicated vector databases (Pinecone, Weaviate, Qdrant) provide optimised vector storage 
and retrieval but add an additional infrastructure dependency. The policy corpus is small 
(hundreds to low thousands of documents) and retrieval latency requirements are moderate 
(under 500ms for bot responses, streamed).</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the pgvector PostgreSQL extension to store and query embeddings within the 
existing PostgreSQL instance. An HNSW index (Hierarchical Navigable Small World) provides 
approximate nearest-neighbour search with acceptable latency at this scale. All vector 
operations run within the same database transaction scope as the RBAC filtering query, 
ensuring role-filtered retrieval is atomic.</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Pinecone — managed SaaS; data leaves the organisation; additional cost; another API dependency.</w:t>
      </w:r>
    </w:p>
    <w:p>
      <w:pPr>
        <w:pStyle w:val="ListParagraph"/>
        <w:numPr>
          <w:ilvl w:val="0"/>
          <w:numId w:val="2"/>
        </w:numPr>
        <w:spacing w:after="60"/>
      </w:pPr>
      <w:r>
        <w:rPr>
          <w:rFonts w:ascii="Arial" w:cs="Arial" w:eastAsia="Arial" w:hAnsi="Arial"/>
          <w:color w:val="1a1917"/>
          <w:sz w:val="20"/>
          <w:szCs w:val="20"/>
        </w:rPr>
        <w:t xml:space="preserve">Qdrant (self-hosted) — excellent performance but another service to operate and deploy.</w:t>
      </w:r>
    </w:p>
    <w:p>
      <w:pPr>
        <w:pStyle w:val="ListParagraph"/>
        <w:numPr>
          <w:ilvl w:val="0"/>
          <w:numId w:val="2"/>
        </w:numPr>
        <w:spacing w:after="60"/>
      </w:pPr>
      <w:r>
        <w:rPr>
          <w:rFonts w:ascii="Arial" w:cs="Arial" w:eastAsia="Arial" w:hAnsi="Arial"/>
          <w:color w:val="1a1917"/>
          <w:sz w:val="20"/>
          <w:szCs w:val="20"/>
        </w:rPr>
        <w:t xml:space="preserve">Weaviate — full-featured but operationally heavy for the corpus size.</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No additional infrastructure — uses the existing PostgreSQL instance</w:t>
            </w:r>
          </w:p>
          <w:p>
            <w:pPr>
              <w:pStyle w:val="ListParagraph"/>
              <w:numPr>
                <w:ilvl w:val="0"/>
                <w:numId w:val="2"/>
              </w:numPr>
              <w:spacing w:after="60"/>
            </w:pPr>
            <w:r>
              <w:rPr>
                <w:rFonts w:ascii="Arial" w:cs="Arial" w:eastAsia="Arial" w:hAnsi="Arial"/>
                <w:color w:val="1a1917"/>
                <w:sz w:val="18"/>
                <w:szCs w:val="18"/>
              </w:rPr>
              <w:t xml:space="preserve">RBAC filtering and vector search execute in the same query — atomicity guaranteed</w:t>
            </w:r>
          </w:p>
          <w:p>
            <w:pPr>
              <w:pStyle w:val="ListParagraph"/>
              <w:numPr>
                <w:ilvl w:val="0"/>
                <w:numId w:val="2"/>
              </w:numPr>
              <w:spacing w:after="60"/>
            </w:pPr>
            <w:r>
              <w:rPr>
                <w:rFonts w:ascii="Arial" w:cs="Arial" w:eastAsia="Arial" w:hAnsi="Arial"/>
                <w:color w:val="1a1917"/>
                <w:sz w:val="18"/>
                <w:szCs w:val="18"/>
              </w:rPr>
              <w:t xml:space="preserve">Simpler deployment and backup story — one database to manage</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At very large scale (millions of chunks) pgvector will underperform a dedicated vector DB</w:t>
            </w:r>
          </w:p>
          <w:p>
            <w:pPr>
              <w:pStyle w:val="ListParagraph"/>
              <w:numPr>
                <w:ilvl w:val="0"/>
                <w:numId w:val="2"/>
              </w:numPr>
              <w:spacing w:after="60"/>
            </w:pPr>
            <w:r>
              <w:rPr>
                <w:rFonts w:ascii="Arial" w:cs="Arial" w:eastAsia="Arial" w:hAnsi="Arial"/>
                <w:color w:val="1a1917"/>
                <w:sz w:val="18"/>
                <w:szCs w:val="18"/>
              </w:rPr>
              <w:t xml:space="preserve">Vector indexing competes for Postgres resources during bulk embedding inserts (publish pipeline)</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Performance at scale: mitigated by the HNSW index and the ability to migrate to a dedicated vector DB later if the corpus outgrows pgvector without changing the application interface</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ADR-007</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Pluggable IdP-agnostic authentication (OIDC)</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initial deployment uses Microsoft Entra ID. The organisation may wish to 
support additional IdPs in future (Okta, Google Workspace, GitLab OAuth) or migrate providers 
without rebuilding the authentication layer. Additionally, the database schema must not encode 
provider-specific concepts (e.g., Entra-specific column names) that would require schema 
migrations on provider change.</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Authentication is implemented via standard OIDC using AdonisJS's social auth module. 
The database stores the OIDC sub claim as idp_subject and the provider name as idp_provider — a 
composite unique constraint rather than a provider-specific ID. The IdP group-to-role mapping 
table (idp_group_role_mappings) uses idp_provider + idp_group_id columns. Switching providers 
requires only environment variable changes (IDP_ISSUER_URL, IDP_CLIENT_ID, etc.) and updating 
the mapping table — no schema migrations or code changes.</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Entra-specific implementation — simpler initially but creates migration cost and locks the product to Microsoft.</w:t>
      </w:r>
    </w:p>
    <w:p>
      <w:pPr>
        <w:pStyle w:val="ListParagraph"/>
        <w:numPr>
          <w:ilvl w:val="0"/>
          <w:numId w:val="2"/>
        </w:numPr>
        <w:spacing w:after="60"/>
      </w:pPr>
      <w:r>
        <w:rPr>
          <w:rFonts w:ascii="Arial" w:cs="Arial" w:eastAsia="Arial" w:hAnsi="Arial"/>
          <w:color w:val="1a1917"/>
          <w:sz w:val="20"/>
          <w:szCs w:val="20"/>
        </w:rPr>
        <w:t xml:space="preserve">GitLab OAuth as the sole provider — elegant (single system) but couples user identity to the git provider, complicating separation of concerns.</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Provider swap requires only config changes — no schema migrations or code changes</w:t>
            </w:r>
          </w:p>
          <w:p>
            <w:pPr>
              <w:pStyle w:val="ListParagraph"/>
              <w:numPr>
                <w:ilvl w:val="0"/>
                <w:numId w:val="2"/>
              </w:numPr>
              <w:spacing w:after="60"/>
            </w:pPr>
            <w:r>
              <w:rPr>
                <w:rFonts w:ascii="Arial" w:cs="Arial" w:eastAsia="Arial" w:hAnsi="Arial"/>
                <w:color w:val="1a1917"/>
                <w:sz w:val="18"/>
                <w:szCs w:val="18"/>
              </w:rPr>
              <w:t xml:space="preserve">Supports multiple simultaneous providers (e.g., during migration)</w:t>
            </w:r>
          </w:p>
          <w:p>
            <w:pPr>
              <w:pStyle w:val="ListParagraph"/>
              <w:numPr>
                <w:ilvl w:val="0"/>
                <w:numId w:val="2"/>
              </w:numPr>
              <w:spacing w:after="60"/>
            </w:pPr>
            <w:r>
              <w:rPr>
                <w:rFonts w:ascii="Arial" w:cs="Arial" w:eastAsia="Arial" w:hAnsi="Arial"/>
                <w:color w:val="1a1917"/>
                <w:sz w:val="18"/>
                <w:szCs w:val="18"/>
              </w:rPr>
              <w:t xml:space="preserve">Database schema is clean of provider-specific language</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Slightly more complex initial implementation than hardcoding Entra</w:t>
            </w:r>
          </w:p>
          <w:p>
            <w:pPr>
              <w:pStyle w:val="ListParagraph"/>
              <w:numPr>
                <w:ilvl w:val="0"/>
                <w:numId w:val="2"/>
              </w:numPr>
              <w:spacing w:after="60"/>
            </w:pPr>
            <w:r>
              <w:rPr>
                <w:rFonts w:ascii="Arial" w:cs="Arial" w:eastAsia="Arial" w:hAnsi="Arial"/>
                <w:color w:val="1a1917"/>
                <w:sz w:val="18"/>
                <w:szCs w:val="18"/>
              </w:rPr>
              <w:t xml:space="preserve">IDP_GROUPS_CLAIM env var must be set correctly per provider — not all IdPs use the same claim name</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Provider-specific group claim format differences: mitigated by the IDP_GROUPS_CLAIM environment variable and provider-specific claim parsing in the auth callback handler</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ADR-008</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TipTap as the policy editor</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Non-technical policy authors require a WYSIWYG editor that generates clean, 
round-trippable Markdown. The editor must support standard rich text (headings, lists, tables, 
bold, italic, links), a Markdown source view toggle, and a policy template loading mechanism. 
It must integrate with React (used via Inertia.js) and be licensable for commercial use without 
per-document or per-user fees.</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TipTap's open-source editor core (MIT licence). TipTap is ProseMirror-based 
and provides a headless, extensible WYSIWYG framework with first-class Markdown support. The 
TipTap Platform (paid, cloud-synced collaboration) is explicitly not used — documents are saved 
to GitLab, not TipTap Cloud, so no platform subscription is required. All required extensions 
(headings, lists, tables, code blocks, markdown) are MIT-licensed.</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Quill — poorly handles Markdown round-trip; loses formatting on paste from Word.</w:t>
      </w:r>
    </w:p>
    <w:p>
      <w:pPr>
        <w:pStyle w:val="ListParagraph"/>
        <w:numPr>
          <w:ilvl w:val="0"/>
          <w:numId w:val="2"/>
        </w:numPr>
        <w:spacing w:after="60"/>
      </w:pPr>
      <w:r>
        <w:rPr>
          <w:rFonts w:ascii="Arial" w:cs="Arial" w:eastAsia="Arial" w:hAnsi="Arial"/>
          <w:color w:val="1a1917"/>
          <w:sz w:val="20"/>
          <w:szCs w:val="20"/>
        </w:rPr>
        <w:t xml:space="preserve">ProseMirror directly — TipTap is a ProseMirror wrapper; building on ProseMirror directly would replicate TipTap's extension system unnecessarily.</w:t>
      </w:r>
    </w:p>
    <w:p>
      <w:pPr>
        <w:pStyle w:val="ListParagraph"/>
        <w:numPr>
          <w:ilvl w:val="0"/>
          <w:numId w:val="2"/>
        </w:numPr>
        <w:spacing w:after="60"/>
      </w:pPr>
      <w:r>
        <w:rPr>
          <w:rFonts w:ascii="Arial" w:cs="Arial" w:eastAsia="Arial" w:hAnsi="Arial"/>
          <w:color w:val="1a1917"/>
          <w:sz w:val="20"/>
          <w:szCs w:val="20"/>
        </w:rPr>
        <w:t xml:space="preserve">CKEditor 5 — GPL licence for the open-source build creates copyleft concerns for commercial distribution.</w:t>
      </w:r>
    </w:p>
    <w:p>
      <w:pPr>
        <w:pStyle w:val="ListParagraph"/>
        <w:numPr>
          <w:ilvl w:val="0"/>
          <w:numId w:val="2"/>
        </w:numPr>
        <w:spacing w:after="60"/>
      </w:pPr>
      <w:r>
        <w:rPr>
          <w:rFonts w:ascii="Arial" w:cs="Arial" w:eastAsia="Arial" w:hAnsi="Arial"/>
          <w:color w:val="1a1917"/>
          <w:sz w:val="20"/>
          <w:szCs w:val="20"/>
        </w:rPr>
        <w:t xml:space="preserve">Slate.js — less mature Markdown serialisation; more custom development required.</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MIT licence — unambiguously compatible with commercial distribution</w:t>
            </w:r>
          </w:p>
          <w:p>
            <w:pPr>
              <w:pStyle w:val="ListParagraph"/>
              <w:numPr>
                <w:ilvl w:val="0"/>
                <w:numId w:val="2"/>
              </w:numPr>
              <w:spacing w:after="60"/>
            </w:pPr>
            <w:r>
              <w:rPr>
                <w:rFonts w:ascii="Arial" w:cs="Arial" w:eastAsia="Arial" w:hAnsi="Arial"/>
                <w:color w:val="1a1917"/>
                <w:sz w:val="18"/>
                <w:szCs w:val="18"/>
              </w:rPr>
              <w:t xml:space="preserve">ProseMirror foundation — battle-tested in production at scale (Notion, Linear)</w:t>
            </w:r>
          </w:p>
          <w:p>
            <w:pPr>
              <w:pStyle w:val="ListParagraph"/>
              <w:numPr>
                <w:ilvl w:val="0"/>
                <w:numId w:val="2"/>
              </w:numPr>
              <w:spacing w:after="60"/>
            </w:pPr>
            <w:r>
              <w:rPr>
                <w:rFonts w:ascii="Arial" w:cs="Arial" w:eastAsia="Arial" w:hAnsi="Arial"/>
                <w:color w:val="1a1917"/>
                <w:sz w:val="18"/>
                <w:szCs w:val="18"/>
              </w:rPr>
              <w:t xml:space="preserve">Native Markdown import/export — clean round-trip with the git content store</w:t>
            </w:r>
          </w:p>
          <w:p>
            <w:pPr>
              <w:pStyle w:val="ListParagraph"/>
              <w:numPr>
                <w:ilvl w:val="0"/>
                <w:numId w:val="2"/>
              </w:numPr>
              <w:spacing w:after="60"/>
            </w:pPr>
            <w:r>
              <w:rPr>
                <w:rFonts w:ascii="Arial" w:cs="Arial" w:eastAsia="Arial" w:hAnsi="Arial"/>
                <w:color w:val="1a1917"/>
                <w:sz w:val="18"/>
                <w:szCs w:val="18"/>
              </w:rPr>
              <w:t xml:space="preserve">Zero TipTap Platform dependency — no per-document cost or external data flow</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Advanced collaborative editing (multi-user real-time) requires TipTap Platform or self-hosted Hocuspocus — out of scope for v1</w:t>
            </w:r>
          </w:p>
          <w:p>
            <w:pPr>
              <w:pStyle w:val="ListParagraph"/>
              <w:numPr>
                <w:ilvl w:val="0"/>
                <w:numId w:val="2"/>
              </w:numPr>
              <w:spacing w:after="60"/>
            </w:pPr>
            <w:r>
              <w:rPr>
                <w:rFonts w:ascii="Arial" w:cs="Arial" w:eastAsia="Arial" w:hAnsi="Arial"/>
                <w:color w:val="1a1917"/>
                <w:sz w:val="18"/>
                <w:szCs w:val="18"/>
              </w:rPr>
              <w:t xml:space="preserve">Headless design requires building the toolbar and UI chrome from scratch</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TipTap Pro extensions (collaboration, AI) are separately licensed: mitigated by ensuring the feature set is scoped to MIT-only extensions</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ADR-009</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Monaco Editor for diff rendering in review and version comparison</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review screen and version diff screen require a diff viewer that shows changes 
between two versions of a policy. The viewer must support both a unified diff view and a 
side-by-side rendered preview. Non-technical reviewers will use this interface to make approval 
decisions — clarity and readability are essential.</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Use Monaco Editor in diff mode for the unified diff view (raw markdown diff). 
A separate side-by-side tab renders the two versions as formatted HTML using the same 
remark/rehype pipeline as the publishing service. Unified diff is the default view — it is 
technically simpler to render (git diff output piped to Monaco) and consistent with developer 
tooling. Colleagues will be trained on the format as part of onboarding.</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Custom HTML diff renderer — significant engineering cost to match Monaco's quality; syntax highlighting, line numbers, and scroll sync all require custom implementation.</w:t>
      </w:r>
    </w:p>
    <w:p>
      <w:pPr>
        <w:pStyle w:val="ListParagraph"/>
        <w:numPr>
          <w:ilvl w:val="0"/>
          <w:numId w:val="2"/>
        </w:numPr>
        <w:spacing w:after="60"/>
      </w:pPr>
      <w:r>
        <w:rPr>
          <w:rFonts w:ascii="Arial" w:cs="Arial" w:eastAsia="Arial" w:hAnsi="Arial"/>
          <w:color w:val="1a1917"/>
          <w:sz w:val="20"/>
          <w:szCs w:val="20"/>
        </w:rPr>
        <w:t xml:space="preserve">Rendered side-by-side as the default — more accessible to non-technical users initially, but complex to implement reliably for all Markdown constructs; Monaco diff is more consistent.</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Monaco provides line numbers, syntax highlighting, scroll synchronisation in diff mode out of the box</w:t>
            </w:r>
          </w:p>
          <w:p>
            <w:pPr>
              <w:pStyle w:val="ListParagraph"/>
              <w:numPr>
                <w:ilvl w:val="0"/>
                <w:numId w:val="2"/>
              </w:numPr>
              <w:spacing w:after="60"/>
            </w:pPr>
            <w:r>
              <w:rPr>
                <w:rFonts w:ascii="Arial" w:cs="Arial" w:eastAsia="Arial" w:hAnsi="Arial"/>
                <w:color w:val="1a1917"/>
                <w:sz w:val="18"/>
                <w:szCs w:val="18"/>
              </w:rPr>
              <w:t xml:space="preserve">MIT licence (VS Code engine)</w:t>
            </w:r>
          </w:p>
          <w:p>
            <w:pPr>
              <w:pStyle w:val="ListParagraph"/>
              <w:numPr>
                <w:ilvl w:val="0"/>
                <w:numId w:val="2"/>
              </w:numPr>
              <w:spacing w:after="60"/>
            </w:pPr>
            <w:r>
              <w:rPr>
                <w:rFonts w:ascii="Arial" w:cs="Arial" w:eastAsia="Arial" w:hAnsi="Arial"/>
                <w:color w:val="1a1917"/>
                <w:sz w:val="18"/>
                <w:szCs w:val="18"/>
              </w:rPr>
              <w:t xml:space="preserve">Familiar to technical reviewers; side-by-side preview available for non-technical reviewers</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Non-technical users must learn + / − diff notation; mitigated by training and the AI summary contextualising every diff</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Monaco bundle size (~2MB gzipped): mitigated by lazy-loading Monaco only on review/diff routes</w:t>
            </w:r>
          </w:p>
        </w:tc>
      </w:tr>
    </w:tbl>
    <w:p>
      <w:pPr>
        <w:spacing w:after="0" w:before="200"/>
      </w:pPr>
    </w:p>
    <w:p>
      <w:pPr>
        <w:pBdr>
          <w:bottom w:val="single" w:color="E0DDD8" w:sz="1"/>
        </w:pBdr>
        <w:spacing w:after="0"/>
      </w:pPr>
    </w:p>
    <w:p>
      <w:r>
        <w:br w:type="page"/>
      </w:r>
    </w:p>
    <w:p>
      <w:pPr>
        <w:pBdr>
          <w:bottom w:val="single" w:color="E0DDD8" w:sz="2"/>
        </w:pBdr>
        <w:spacing w:after="120"/>
      </w:pPr>
      <w:r>
        <w:rPr>
          <w:rFonts w:ascii="Arial" w:cs="Arial" w:eastAsia="Arial" w:hAnsi="Arial"/>
          <w:b/>
          <w:bCs/>
          <w:color w:val="185FA5"/>
          <w:sz w:val="20"/>
          <w:szCs w:val="20"/>
        </w:rPr>
        <w:t xml:space="preserve">ADR-010</w:t>
      </w:r>
      <w:r>
        <w:rPr>
          <w:rFonts w:ascii="Arial" w:cs="Arial" w:eastAsia="Arial" w:hAnsi="Arial"/>
          <w:color w:val="9e9d9a"/>
          <w:sz w:val="20"/>
          <w:szCs w:val="20"/>
        </w:rPr>
        <w:t xml:space="preserve">  —  </w:t>
      </w:r>
      <w:r>
        <w:rPr>
          <w:rFonts w:ascii="Arial" w:cs="Arial" w:eastAsia="Arial" w:hAnsi="Arial"/>
          <w:b/>
          <w:bCs/>
          <w:color w:val="1a1917"/>
          <w:sz w:val="28"/>
          <w:szCs w:val="28"/>
        </w:rPr>
        <w:t xml:space="preserve">RAG with strict grounding for the policy bot</w:t>
      </w:r>
    </w:p>
    <w:p>
      <w:pPr>
        <w:spacing w:after="0" w:before="80"/>
      </w:pPr>
    </w:p>
    <w:tbl>
      <w:tblPr>
        <w:tblW w:type="dxa" w:w="9026"/>
        <w:tblBorders>
          <w:top w:val="single" w:color="E0DDD8" w:sz="1"/>
          <w:left w:val="single" w:color="E0DDD8" w:sz="1"/>
          <w:bottom w:val="single" w:color="E0DDD8" w:sz="1"/>
          <w:right w:val="single" w:color="E0DDD8" w:sz="1"/>
          <w:insideH w:val="single" w:color="auto" w:sz="4"/>
          <w:insideV w:val="single" w:color="auto" w:sz="4"/>
        </w:tblBorders>
      </w:tblPr>
      <w:tblGrid>
        <w:gridCol w:w="2000"/>
        <w:gridCol w:w="7026"/>
      </w:tblGrid>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Status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Accepted</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Date</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2026-03</w:t>
            </w:r>
          </w:p>
        </w:tc>
      </w:tr>
      <w:tr>
        <w:tc>
          <w:tcPr>
            <w:tcW w:type="dxa" w:w="2000"/>
            <w:tcBorders>
              <w:top w:val="single" w:color="E0DDD8" w:sz="1"/>
              <w:left w:val="single" w:color="E0DDD8" w:sz="1"/>
              <w:bottom w:val="single" w:color="E0DDD8" w:sz="1"/>
              <w:right w:val="single" w:color="E0DDD8" w:sz="1"/>
            </w:tcBorders>
            <w:shd w:fill="F6F5F2" w:val="clear"/>
            <w:tcMar>
              <w:top w:type="dxa" w:w="60"/>
              <w:left w:type="dxa" w:w="120"/>
              <w:bottom w:type="dxa" w:w="60"/>
              <w:right w:type="dxa" w:w="120"/>
            </w:tcMar>
          </w:tcPr>
          <w:p>
            <w:pPr>
              <w:spacing w:after="0"/>
            </w:pPr>
            <w:r>
              <w:rPr>
                <w:rFonts w:ascii="Arial" w:cs="Arial" w:eastAsia="Arial" w:hAnsi="Arial"/>
                <w:b/>
                <w:bCs/>
                <w:color w:val="6b6a67"/>
                <w:sz w:val="18"/>
                <w:szCs w:val="18"/>
              </w:rPr>
              <w:t xml:space="preserve">Deciders</w:t>
            </w:r>
          </w:p>
        </w:tc>
        <w:tc>
          <w:tcPr>
            <w:tcW w:type="dxa" w:w="7026"/>
            <w:tcBorders>
              <w:top w:val="single" w:color="E0DDD8" w:sz="1"/>
              <w:left w:val="single" w:color="E0DDD8" w:sz="1"/>
              <w:bottom w:val="single" w:color="E0DDD8" w:sz="1"/>
              <w:right w:val="single" w:color="E0DDD8" w:sz="1"/>
            </w:tcBorders>
            <w:tcMar>
              <w:top w:type="dxa" w:w="60"/>
              <w:left w:type="dxa" w:w="120"/>
              <w:bottom w:type="dxa" w:w="60"/>
              <w:right w:type="dxa" w:w="120"/>
            </w:tcMar>
          </w:tcPr>
          <w:p>
            <w:pPr>
              <w:spacing w:after="0"/>
            </w:pPr>
            <w:r>
              <w:rPr>
                <w:rFonts w:ascii="Arial" w:cs="Arial" w:eastAsia="Arial" w:hAnsi="Arial"/>
                <w:color w:val="1a1917"/>
                <w:sz w:val="18"/>
                <w:szCs w:val="18"/>
              </w:rPr>
              <w:t xml:space="preserve">Architecture review</w:t>
            </w:r>
          </w:p>
        </w:tc>
      </w:tr>
    </w:tbl>
    <w:p>
      <w:pPr>
        <w:spacing w:after="0" w:before="160"/>
      </w:pPr>
    </w:p>
    <w:p>
      <w:pPr>
        <w:pStyle w:val="Heading3"/>
        <w:spacing w:after="60" w:before="200"/>
      </w:pPr>
      <w:r>
        <w:rPr>
          <w:rFonts w:ascii="Arial" w:cs="Arial" w:eastAsia="Arial" w:hAnsi="Arial"/>
          <w:b/>
          <w:bCs/>
          <w:color w:val="185FA5"/>
          <w:sz w:val="22"/>
          <w:szCs w:val="22"/>
        </w:rPr>
        <w:t xml:space="preserve">Context</w:t>
      </w:r>
    </w:p>
    <w:p>
      <w:pPr>
        <w:spacing w:after="120"/>
      </w:pPr>
      <w:r>
        <w:rPr>
          <w:rFonts w:ascii="Arial" w:cs="Arial" w:eastAsia="Arial" w:hAnsi="Arial"/>
          <w:color w:val="1a1917"/>
          <w:sz w:val="20"/>
          <w:szCs w:val="20"/>
        </w:rPr>
        <w:t xml:space="preserve">The policy bot must answer employee questions from organisational policies. A bot 
that answers confidently but incorrectly is worse than no bot — it creates compliance risk and 
erodes trust. The bot must only answer from published, authorised policy content, must cite 
its sources, and must give an honest "I don't know" response when no relevant content exists. 
Additionally, the bot must enforce the same RBAC as the reader portal — users must not receive 
answers drawn from policies they are not permitted to read.</w:t>
      </w:r>
    </w:p>
    <w:p>
      <w:pPr>
        <w:spacing w:after="0" w:before="80"/>
      </w:pPr>
    </w:p>
    <w:p>
      <w:pPr>
        <w:pStyle w:val="Heading3"/>
        <w:spacing w:after="60" w:before="200"/>
      </w:pPr>
      <w:r>
        <w:rPr>
          <w:rFonts w:ascii="Arial" w:cs="Arial" w:eastAsia="Arial" w:hAnsi="Arial"/>
          <w:b/>
          <w:bCs/>
          <w:color w:val="185FA5"/>
          <w:sz w:val="22"/>
          <w:szCs w:val="22"/>
        </w:rPr>
        <w:t xml:space="preserve">Decision</w:t>
      </w:r>
    </w:p>
    <w:p>
      <w:pPr>
        <w:spacing w:after="120"/>
      </w:pPr>
      <w:r>
        <w:rPr>
          <w:rFonts w:ascii="Arial" w:cs="Arial" w:eastAsia="Arial" w:hAnsi="Arial"/>
          <w:color w:val="1a1917"/>
          <w:sz w:val="20"/>
          <w:szCs w:val="20"/>
        </w:rPr>
        <w:t xml:space="preserve">Implement the policy bot as a Retrieval-Augmented Generation (RAG) pipeline using 
pgvector for semantic retrieval and Claude (claude-sonnet-4-6) for answer generation. The 
retrieval query includes the user's audience group IDs as a hard filter — only chunks from 
permitted policies are retrieved. The generation prompt instructs the model to answer only from 
retrieved context, never from training knowledge, and to return a structured fallback when no 
relevant context is found. Every response includes source citations. Bot interactions are logged 
for quality review and unanswered questions are surfaced as a policy gap report.</w:t>
      </w:r>
    </w:p>
    <w:p>
      <w:pPr>
        <w:spacing w:after="0" w:before="80"/>
      </w:pPr>
    </w:p>
    <w:p>
      <w:pPr>
        <w:pStyle w:val="Heading3"/>
        <w:spacing w:after="60" w:before="200"/>
      </w:pPr>
      <w:r>
        <w:rPr>
          <w:rFonts w:ascii="Arial" w:cs="Arial" w:eastAsia="Arial" w:hAnsi="Arial"/>
          <w:b/>
          <w:bCs/>
          <w:color w:val="185FA5"/>
          <w:sz w:val="22"/>
          <w:szCs w:val="22"/>
        </w:rPr>
        <w:t xml:space="preserve">Alternatives considered</w:t>
      </w:r>
    </w:p>
    <w:p>
      <w:pPr>
        <w:pStyle w:val="ListParagraph"/>
        <w:numPr>
          <w:ilvl w:val="0"/>
          <w:numId w:val="2"/>
        </w:numPr>
        <w:spacing w:after="60"/>
      </w:pPr>
      <w:r>
        <w:rPr>
          <w:rFonts w:ascii="Arial" w:cs="Arial" w:eastAsia="Arial" w:hAnsi="Arial"/>
          <w:color w:val="1a1917"/>
          <w:sz w:val="20"/>
          <w:szCs w:val="20"/>
        </w:rPr>
        <w:t xml:space="preserve">Fine-tuned model — high cost, requires retraining when policies change, no citation capability.</w:t>
      </w:r>
    </w:p>
    <w:p>
      <w:pPr>
        <w:pStyle w:val="ListParagraph"/>
        <w:numPr>
          <w:ilvl w:val="0"/>
          <w:numId w:val="2"/>
        </w:numPr>
        <w:spacing w:after="60"/>
      </w:pPr>
      <w:r>
        <w:rPr>
          <w:rFonts w:ascii="Arial" w:cs="Arial" w:eastAsia="Arial" w:hAnsi="Arial"/>
          <w:color w:val="1a1917"/>
          <w:sz w:val="20"/>
          <w:szCs w:val="20"/>
        </w:rPr>
        <w:t xml:space="preserve">Keyword search only — no semantic understanding; fails on paraphrased questions.</w:t>
      </w:r>
    </w:p>
    <w:p>
      <w:pPr>
        <w:pStyle w:val="ListParagraph"/>
        <w:numPr>
          <w:ilvl w:val="0"/>
          <w:numId w:val="2"/>
        </w:numPr>
        <w:spacing w:after="60"/>
      </w:pPr>
      <w:r>
        <w:rPr>
          <w:rFonts w:ascii="Arial" w:cs="Arial" w:eastAsia="Arial" w:hAnsi="Arial"/>
          <w:color w:val="1a1917"/>
          <w:sz w:val="20"/>
          <w:szCs w:val="20"/>
        </w:rPr>
        <w:t xml:space="preserve">Ungrounded LLM — no source citations, hallucination risk, cannot enforce RBAC on knowledge.</w:t>
      </w:r>
    </w:p>
    <w:p>
      <w:pPr>
        <w:spacing w:after="0" w:before="120"/>
      </w:pPr>
    </w:p>
    <w:p>
      <w:pPr>
        <w:pStyle w:val="Heading3"/>
        <w:spacing w:after="60" w:before="200"/>
      </w:pPr>
      <w:r>
        <w:rPr>
          <w:rFonts w:ascii="Arial" w:cs="Arial" w:eastAsia="Arial" w:hAnsi="Arial"/>
          <w:b/>
          <w:bCs/>
          <w:color w:val="185FA5"/>
          <w:sz w:val="22"/>
          <w:szCs w:val="22"/>
        </w:rPr>
        <w:t xml:space="preserve">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0DDD8" w:sz="1"/>
              <w:left w:val="single" w:color="E0DDD8" w:sz="1"/>
              <w:bottom w:val="single" w:color="E0DDD8" w:sz="1"/>
              <w:right w:val="single" w:color="E0DDD8" w:sz="1"/>
            </w:tcBorders>
            <w:shd w:fill="E1F5EE" w:val="clear"/>
            <w:tcMar>
              <w:top w:type="dxa" w:w="80"/>
              <w:left w:type="dxa" w:w="120"/>
              <w:bottom w:type="dxa" w:w="80"/>
              <w:right w:type="dxa" w:w="120"/>
            </w:tcMar>
          </w:tcPr>
          <w:p>
            <w:pPr>
              <w:spacing w:after="80"/>
            </w:pPr>
            <w:r>
              <w:rPr>
                <w:rFonts w:ascii="Arial" w:cs="Arial" w:eastAsia="Arial" w:hAnsi="Arial"/>
                <w:b/>
                <w:bCs/>
                <w:color w:val="0F6E56"/>
                <w:sz w:val="18"/>
                <w:szCs w:val="18"/>
              </w:rPr>
              <w:t xml:space="preserve">Positive</w:t>
            </w:r>
          </w:p>
          <w:p>
            <w:pPr>
              <w:pStyle w:val="ListParagraph"/>
              <w:numPr>
                <w:ilvl w:val="0"/>
                <w:numId w:val="2"/>
              </w:numPr>
              <w:spacing w:after="60"/>
            </w:pPr>
            <w:r>
              <w:rPr>
                <w:rFonts w:ascii="Arial" w:cs="Arial" w:eastAsia="Arial" w:hAnsi="Arial"/>
                <w:color w:val="1a1917"/>
                <w:sz w:val="18"/>
                <w:szCs w:val="18"/>
              </w:rPr>
              <w:t xml:space="preserve">Answers grounded in current published policy content — no hallucination from training data</w:t>
            </w:r>
          </w:p>
          <w:p>
            <w:pPr>
              <w:pStyle w:val="ListParagraph"/>
              <w:numPr>
                <w:ilvl w:val="0"/>
                <w:numId w:val="2"/>
              </w:numPr>
              <w:spacing w:after="60"/>
            </w:pPr>
            <w:r>
              <w:rPr>
                <w:rFonts w:ascii="Arial" w:cs="Arial" w:eastAsia="Arial" w:hAnsi="Arial"/>
                <w:color w:val="1a1917"/>
                <w:sz w:val="18"/>
                <w:szCs w:val="18"/>
              </w:rPr>
              <w:t xml:space="preserve">RBAC enforced at retrieval layer — not post-retrieval filtering</w:t>
            </w:r>
          </w:p>
          <w:p>
            <w:pPr>
              <w:pStyle w:val="ListParagraph"/>
              <w:numPr>
                <w:ilvl w:val="0"/>
                <w:numId w:val="2"/>
              </w:numPr>
              <w:spacing w:after="60"/>
            </w:pPr>
            <w:r>
              <w:rPr>
                <w:rFonts w:ascii="Arial" w:cs="Arial" w:eastAsia="Arial" w:hAnsi="Arial"/>
                <w:color w:val="1a1917"/>
                <w:sz w:val="18"/>
                <w:szCs w:val="18"/>
              </w:rPr>
              <w:t xml:space="preserve">Citations enable answer verification and build user trust</w:t>
            </w:r>
          </w:p>
          <w:p>
            <w:pPr>
              <w:pStyle w:val="ListParagraph"/>
              <w:numPr>
                <w:ilvl w:val="0"/>
                <w:numId w:val="2"/>
              </w:numPr>
              <w:spacing w:after="60"/>
            </w:pPr>
            <w:r>
              <w:rPr>
                <w:rFonts w:ascii="Arial" w:cs="Arial" w:eastAsia="Arial" w:hAnsi="Arial"/>
                <w:color w:val="1a1917"/>
                <w:sz w:val="18"/>
                <w:szCs w:val="18"/>
              </w:rPr>
              <w:t xml:space="preserve">Unanswered questions identify gaps in the policy library</w:t>
            </w:r>
          </w:p>
          <w:p>
            <w:pPr>
              <w:pStyle w:val="ListParagraph"/>
              <w:numPr>
                <w:ilvl w:val="0"/>
                <w:numId w:val="2"/>
              </w:numPr>
              <w:spacing w:after="60"/>
            </w:pPr>
            <w:r>
              <w:rPr>
                <w:rFonts w:ascii="Arial" w:cs="Arial" w:eastAsia="Arial" w:hAnsi="Arial"/>
                <w:color w:val="1a1917"/>
                <w:sz w:val="18"/>
                <w:szCs w:val="18"/>
              </w:rPr>
              <w:t xml:space="preserve">Policy updates automatically improve bot quality on next publish (re-embedding)</w:t>
            </w:r>
          </w:p>
        </w:tc>
        <w:tc>
          <w:tcPr>
            <w:tcW w:type="dxa" w:w="3008"/>
            <w:tcBorders>
              <w:top w:val="single" w:color="E0DDD8" w:sz="1"/>
              <w:left w:val="single" w:color="E0DDD8" w:sz="1"/>
              <w:bottom w:val="single" w:color="E0DDD8" w:sz="1"/>
              <w:right w:val="single" w:color="E0DDD8" w:sz="1"/>
            </w:tcBorders>
            <w:shd w:fill="FAEEDA" w:val="clear"/>
            <w:tcMar>
              <w:top w:type="dxa" w:w="80"/>
              <w:left w:type="dxa" w:w="120"/>
              <w:bottom w:type="dxa" w:w="80"/>
              <w:right w:type="dxa" w:w="120"/>
            </w:tcMar>
          </w:tcPr>
          <w:p>
            <w:pPr>
              <w:spacing w:after="80"/>
            </w:pPr>
            <w:r>
              <w:rPr>
                <w:rFonts w:ascii="Arial" w:cs="Arial" w:eastAsia="Arial" w:hAnsi="Arial"/>
                <w:b/>
                <w:bCs/>
                <w:color w:val="854F0B"/>
                <w:sz w:val="18"/>
                <w:szCs w:val="18"/>
              </w:rPr>
              <w:t xml:space="preserve">Negative</w:t>
            </w:r>
          </w:p>
          <w:p>
            <w:pPr>
              <w:pStyle w:val="ListParagraph"/>
              <w:numPr>
                <w:ilvl w:val="0"/>
                <w:numId w:val="2"/>
              </w:numPr>
              <w:spacing w:after="60"/>
            </w:pPr>
            <w:r>
              <w:rPr>
                <w:rFonts w:ascii="Arial" w:cs="Arial" w:eastAsia="Arial" w:hAnsi="Arial"/>
                <w:color w:val="1a1917"/>
                <w:sz w:val="18"/>
                <w:szCs w:val="18"/>
              </w:rPr>
              <w:t xml:space="preserve">Answer quality limited by chunking strategy — questions spanning multiple policy sections may retrieve incomplete context</w:t>
            </w:r>
          </w:p>
          <w:p>
            <w:pPr>
              <w:pStyle w:val="ListParagraph"/>
              <w:numPr>
                <w:ilvl w:val="0"/>
                <w:numId w:val="2"/>
              </w:numPr>
              <w:spacing w:after="60"/>
            </w:pPr>
            <w:r>
              <w:rPr>
                <w:rFonts w:ascii="Arial" w:cs="Arial" w:eastAsia="Arial" w:hAnsi="Arial"/>
                <w:color w:val="1a1917"/>
                <w:sz w:val="18"/>
                <w:szCs w:val="18"/>
              </w:rPr>
              <w:t xml:space="preserve">Latency: embedding + retrieval + generation adds ~1–2s to bot responses; streamed to mitigate perceived latency</w:t>
            </w:r>
          </w:p>
        </w:tc>
        <w:tc>
          <w:tcPr>
            <w:tcW w:type="dxa" w:w="3008"/>
            <w:tcBorders>
              <w:top w:val="single" w:color="E0DDD8" w:sz="1"/>
              <w:left w:val="single" w:color="E0DDD8" w:sz="1"/>
              <w:bottom w:val="single" w:color="E0DDD8" w:sz="1"/>
              <w:right w:val="single" w:color="E0DDD8" w:sz="1"/>
            </w:tcBorders>
            <w:shd w:fill="FCEBEB" w:val="clear"/>
            <w:tcMar>
              <w:top w:type="dxa" w:w="80"/>
              <w:left w:type="dxa" w:w="120"/>
              <w:bottom w:type="dxa" w:w="80"/>
              <w:right w:type="dxa" w:w="120"/>
            </w:tcMar>
          </w:tcPr>
          <w:p>
            <w:pPr>
              <w:spacing w:after="80"/>
            </w:pPr>
            <w:r>
              <w:rPr>
                <w:rFonts w:ascii="Arial" w:cs="Arial" w:eastAsia="Arial" w:hAnsi="Arial"/>
                <w:b/>
                <w:bCs/>
                <w:color w:val="A32D2D"/>
                <w:sz w:val="18"/>
                <w:szCs w:val="18"/>
              </w:rPr>
              <w:t xml:space="preserve">Risks &amp; mitigations</w:t>
            </w:r>
          </w:p>
          <w:p>
            <w:pPr>
              <w:pStyle w:val="ListParagraph"/>
              <w:numPr>
                <w:ilvl w:val="0"/>
                <w:numId w:val="2"/>
              </w:numPr>
              <w:spacing w:after="60"/>
            </w:pPr>
            <w:r>
              <w:rPr>
                <w:rFonts w:ascii="Arial" w:cs="Arial" w:eastAsia="Arial" w:hAnsi="Arial"/>
                <w:color w:val="1a1917"/>
                <w:sz w:val="18"/>
                <w:szCs w:val="18"/>
              </w:rPr>
              <w:t xml:space="preserve">Model answers incorrectly despite grounding instructions: mitigated by confidence threshold fallback, mandatory citations, and thumbs-down feedback loop</w:t>
            </w:r>
          </w:p>
          <w:p>
            <w:pPr>
              <w:pStyle w:val="ListParagraph"/>
              <w:numPr>
                <w:ilvl w:val="0"/>
                <w:numId w:val="2"/>
              </w:numPr>
              <w:spacing w:after="60"/>
            </w:pPr>
            <w:r>
              <w:rPr>
                <w:rFonts w:ascii="Arial" w:cs="Arial" w:eastAsia="Arial" w:hAnsi="Arial"/>
                <w:color w:val="1a1917"/>
                <w:sz w:val="18"/>
                <w:szCs w:val="18"/>
              </w:rPr>
              <w:t xml:space="preserve">Policy content sent to Anthropic API: mitigated by DPA with Anthropic; Azure OpenAI available as an alternative for stricter data sovereignty requirements</w:t>
            </w:r>
          </w:p>
        </w:tc>
      </w:tr>
    </w:tbl>
    <w:p>
      <w:pPr>
        <w:spacing w:after="0" w:before="200"/>
      </w:pPr>
    </w:p>
    <w:p>
      <w:pPr>
        <w:pBdr>
          <w:bottom w:val="single" w:color="E0DDD8" w:sz="1"/>
        </w:pBdr>
        <w:spacing w:after="0"/>
      </w:pP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8" w:sz="1"/>
      </w:pBdr>
      <w:tabs>
        <w:tab w:val="right" w:pos="9026"/>
      </w:tabs>
      <w:spacing w:after="0" w:before="80"/>
    </w:pPr>
    <w:r>
      <w:rPr>
        <w:rFonts w:ascii="Arial" w:cs="Arial" w:eastAsia="Arial" w:hAnsi="Arial"/>
        <w:color w:val="9e9d9a"/>
        <w:sz w:val="16"/>
        <w:szCs w:val="16"/>
      </w:rPr>
      <w:t xml:space="preserve">March 2026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8" w:sz="1"/>
      </w:pBdr>
      <w:tabs>
        <w:tab w:val="right" w:pos="9026"/>
      </w:tabs>
      <w:spacing w:after="0"/>
    </w:pPr>
    <w:r>
      <w:rPr>
        <w:rFonts w:ascii="Arial" w:cs="Arial" w:eastAsia="Arial" w:hAnsi="Arial"/>
        <w:color w:val="9e9d9a"/>
        <w:sz w:val="16"/>
        <w:szCs w:val="16"/>
      </w:rPr>
      <w:t xml:space="preserve">PolicyHub — Architecture Decision Records</w:t>
    </w:r>
    <w:r>
      <w:rPr>
        <w:rFonts w:ascii="Arial" w:cs="Arial" w:eastAsia="Arial" w:hAnsi="Arial"/>
        <w:sz w:val="16"/>
        <w:szCs w:val="16"/>
      </w:rPr>
      <w:t xml:space="preserve">	</w:t>
    </w:r>
    <w:r>
      <w:rPr>
        <w:rFonts w:ascii="Arial" w:cs="Arial" w:eastAsia="Arial" w:hAnsi="Arial"/>
        <w:b/>
        <w:bCs/>
        <w:color w:val="9e9d9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917"/>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91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2026-03-18T18:55:31.180Z</dcterms:created>
  <dcterms:modified xsi:type="dcterms:W3CDTF">2026-03-18T18:55:31.181Z</dcterms:modified>
</cp:coreProperties>
</file>

<file path=docProps/custom.xml><?xml version="1.0" encoding="utf-8"?>
<Properties xmlns="http://schemas.openxmlformats.org/officeDocument/2006/custom-properties" xmlns:vt="http://schemas.openxmlformats.org/officeDocument/2006/docPropsVTypes"/>
</file>