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pPr>
      <w:r>
        <w:rPr>
          <w:rFonts w:ascii="Arial" w:cs="Arial" w:eastAsia="Arial" w:hAnsi="Arial"/>
          <w:b/>
          <w:bCs/>
          <w:color w:val="1a1917"/>
          <w:sz w:val="64"/>
          <w:szCs w:val="64"/>
        </w:rPr>
        <w:t xml:space="preserve">PolicyHub</w:t>
      </w:r>
    </w:p>
    <w:p>
      <w:pPr>
        <w:spacing w:after="160"/>
      </w:pPr>
      <w:r>
        <w:rPr>
          <w:rFonts w:ascii="Arial" w:cs="Arial" w:eastAsia="Arial" w:hAnsi="Arial"/>
          <w:color w:val="6b6a67"/>
          <w:sz w:val="32"/>
          <w:szCs w:val="32"/>
        </w:rPr>
        <w:t xml:space="preserve">Microsoft Entra ID — App Registration Setup Guide</w:t>
      </w:r>
    </w:p>
    <w:p>
      <w:pPr>
        <w:pBdr>
          <w:bottom w:val="single" w:color="E0DDD8" w:sz="1"/>
        </w:pBdr>
        <w:spacing w:after="160"/>
      </w:pPr>
    </w:p>
    <w:p>
      <w:pPr>
        <w:spacing w:after="280"/>
      </w:pPr>
      <w:r>
        <w:rPr>
          <w:rFonts w:ascii="Arial" w:cs="Arial" w:eastAsia="Arial" w:hAnsi="Arial"/>
          <w:color w:val="9e9d9a"/>
          <w:sz w:val="18"/>
          <w:szCs w:val="18"/>
        </w:rPr>
        <w:t xml:space="preserve">Version 1.0  ·  March 2026  ·  For IT administrators</w:t>
      </w:r>
    </w:p>
    <w:p>
      <w:pPr>
        <w:spacing w:after="120"/>
      </w:pPr>
      <w:r>
        <w:rPr>
          <w:rFonts w:ascii="Arial" w:cs="Arial" w:eastAsia="Arial" w:hAnsi="Arial"/>
          <w:color w:val="1a1917"/>
          <w:sz w:val="20"/>
          <w:szCs w:val="20"/>
        </w:rPr>
        <w:t xml:space="preserve">This guide is for the IT administrator creating the Entra application registration that PolicyHub uses for SSO. It covers: creating the app registration, configuring redirect URIs, enabling the groups claim, granting API permissions, and extracting the three values the development team needs.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1"/>
              <w:left w:val="single" w:color="185FA5" w:sz="6"/>
              <w:bottom w:val="single" w:color="185FA5" w:sz="1"/>
              <w:right w:val="single" w:color="185FA5" w:sz="1"/>
            </w:tcBorders>
            <w:shd w:fill="E6F1FB" w:val="clear"/>
            <w:tcMar>
              <w:top w:type="dxa" w:w="80"/>
              <w:left w:type="dxa" w:w="180"/>
              <w:bottom w:type="dxa" w:w="80"/>
              <w:right w:type="dxa" w:w="180"/>
            </w:tcMar>
          </w:tcPr>
          <w:p>
            <w:pPr>
              <w:spacing w:after="60"/>
            </w:pPr>
            <w:r>
              <w:rPr>
                <w:rFonts w:ascii="Arial" w:cs="Arial" w:eastAsia="Arial" w:hAnsi="Arial"/>
                <w:b/>
                <w:bCs/>
                <w:color w:val="185FA5"/>
                <w:sz w:val="18"/>
                <w:szCs w:val="18"/>
              </w:rPr>
              <w:t xml:space="preserve">Who follows this guide</w:t>
            </w:r>
          </w:p>
          <w:p>
            <w:pPr>
              <w:spacing w:after="0"/>
            </w:pPr>
            <w:r>
              <w:rPr>
                <w:rFonts w:ascii="Arial" w:cs="Arial" w:eastAsia="Arial" w:hAnsi="Arial"/>
                <w:color w:val="1a1917"/>
                <w:sz w:val="18"/>
                <w:szCs w:val="18"/>
              </w:rPr>
              <w:t xml:space="preserve">This guide requires Azure Portal access with Application Administrator rights. The development team cannot complete this — it requires IT admin access. The three values produced (IDP_ISSUER_URL, IDP_CLIENT_ID, IDP_CLIENT_SECRET) must be passed to developers via a password manager, not Slack or email.</w:t>
            </w:r>
          </w:p>
        </w:tc>
      </w:tr>
    </w:tbl>
    <w:p>
      <w:pPr>
        <w:spacing w:after="0" w:before="40"/>
      </w:pP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Step</w:t>
            </w:r>
          </w:p>
        </w:tc>
        <w:tc>
          <w:tcPr>
            <w:tcW w:type="dxa" w:w="26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Action</w:t>
            </w:r>
          </w:p>
        </w:tc>
        <w:tc>
          <w:tcPr>
            <w:tcW w:type="dxa" w:w="5826"/>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Produces</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1</w:t>
            </w:r>
          </w:p>
        </w:tc>
        <w:tc>
          <w:tcPr>
            <w:tcW w:type="dxa" w:w="2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Create the app registration</w:t>
            </w:r>
          </w:p>
        </w:tc>
        <w:tc>
          <w:tcPr>
            <w:tcW w:type="dxa" w:w="5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Application (client) ID — IDP_CLIENT_ID</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2</w:t>
            </w:r>
          </w:p>
        </w:tc>
        <w:tc>
          <w:tcPr>
            <w:tcW w:type="dxa" w:w="2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Configure redirect URIs</w:t>
            </w:r>
          </w:p>
        </w:tc>
        <w:tc>
          <w:tcPr>
            <w:tcW w:type="dxa" w:w="5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Callback URLs registered for each environment</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3</w:t>
            </w:r>
          </w:p>
        </w:tc>
        <w:tc>
          <w:tcPr>
            <w:tcW w:type="dxa" w:w="2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Create a client secret</w:t>
            </w:r>
          </w:p>
        </w:tc>
        <w:tc>
          <w:tcPr>
            <w:tcW w:type="dxa" w:w="5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IDP_CLIENT_SECRET</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4</w:t>
            </w:r>
          </w:p>
        </w:tc>
        <w:tc>
          <w:tcPr>
            <w:tcW w:type="dxa" w:w="2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Enable the groups claim</w:t>
            </w:r>
          </w:p>
        </w:tc>
        <w:tc>
          <w:tcPr>
            <w:tcW w:type="dxa" w:w="5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Group IDs included in the ID token</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5</w:t>
            </w:r>
          </w:p>
        </w:tc>
        <w:tc>
          <w:tcPr>
            <w:tcW w:type="dxa" w:w="2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Configure ID token claims</w:t>
            </w:r>
          </w:p>
        </w:tc>
        <w:tc>
          <w:tcPr>
            <w:tcW w:type="dxa" w:w="5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sub, email, name, groups all verified present</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6</w:t>
            </w:r>
          </w:p>
        </w:tc>
        <w:tc>
          <w:tcPr>
            <w:tcW w:type="dxa" w:w="2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Grant API permissions</w:t>
            </w:r>
          </w:p>
        </w:tc>
        <w:tc>
          <w:tcPr>
            <w:tcW w:type="dxa" w:w="5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Graph: openid, email, profile, GroupMember.Read.All</w:t>
            </w:r>
          </w:p>
        </w:tc>
      </w:tr>
      <w:tr>
        <w:tc>
          <w:tcPr>
            <w:tcW w:type="dxa" w:w="600"/>
            <w:tcBorders>
              <w:top w:val="single" w:color="E0DDD8" w:sz="1"/>
              <w:left w:val="single" w:color="E0DDD8" w:sz="1"/>
              <w:bottom w:val="single" w:color="E0DDD8" w:sz="1"/>
              <w:right w:val="single" w:color="E0DDD8" w:sz="1"/>
            </w:tcBorders>
            <w:shd w:fill="E6F1FB" w:val="clear"/>
            <w:tcMar>
              <w:top w:type="dxa" w:w="60"/>
              <w:left w:type="dxa" w:w="120"/>
              <w:bottom w:type="dxa" w:w="60"/>
              <w:right w:type="dxa" w:w="120"/>
            </w:tcMar>
          </w:tcPr>
          <w:p>
            <w:pPr>
              <w:spacing w:after="0"/>
              <w:jc w:val="center"/>
            </w:pPr>
            <w:r>
              <w:rPr>
                <w:rFonts w:ascii="Arial" w:cs="Arial" w:eastAsia="Arial" w:hAnsi="Arial"/>
                <w:b/>
                <w:bCs/>
                <w:color w:val="185FA5"/>
                <w:sz w:val="18"/>
                <w:szCs w:val="18"/>
              </w:rPr>
              <w:t xml:space="preserve">7</w:t>
            </w:r>
          </w:p>
        </w:tc>
        <w:tc>
          <w:tcPr>
            <w:tcW w:type="dxa" w:w="26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Extract and hand over values</w:t>
            </w:r>
          </w:p>
        </w:tc>
        <w:tc>
          <w:tcPr>
            <w:tcW w:type="dxa" w:w="58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IDP_ISSUER_URL, IDP_CLIENT_ID, IDP_CLIENT_SECRET</w:t>
            </w:r>
          </w:p>
        </w:tc>
      </w:tr>
    </w:tbl>
    <w:p>
      <w:r>
        <w:br w:type="page"/>
      </w:r>
    </w:p>
    <w:p>
      <w:pPr>
        <w:pBdr>
          <w:bottom w:val="single" w:color="E0DDD8" w:sz="1"/>
        </w:pBdr>
        <w:spacing w:after="80" w:before="280"/>
      </w:pPr>
      <w:r>
        <w:rPr>
          <w:rFonts w:ascii="Arial" w:cs="Arial" w:eastAsia="Arial" w:hAnsi="Arial"/>
          <w:b/>
          <w:bCs/>
          <w:color w:val="9e9d9a"/>
          <w:spacing w:val="40"/>
          <w:sz w:val="16"/>
          <w:szCs w:val="16"/>
        </w:rPr>
        <w:t xml:space="preserve">Step 1 of 7</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Create the app registration</w:t>
      </w:r>
    </w:p>
    <w:p>
      <w:pPr>
        <w:spacing w:after="120"/>
      </w:pPr>
      <w:r>
        <w:rPr>
          <w:rFonts w:ascii="Arial" w:cs="Arial" w:eastAsia="Arial" w:hAnsi="Arial"/>
          <w:color w:val="1a1917"/>
          <w:sz w:val="20"/>
          <w:szCs w:val="20"/>
        </w:rPr>
        <w:t xml:space="preserve">This creates the Entra identity for the PolicyHub application.</w:t>
      </w:r>
    </w:p>
    <w:p>
      <w:pPr>
        <w:spacing w:after="0" w:before="40"/>
      </w:pPr>
    </w:p>
    <w:p>
      <w:pPr>
        <w:pStyle w:val="ListParagraph"/>
        <w:numPr>
          <w:ilvl w:val="0"/>
          <w:numId w:val="2"/>
        </w:numPr>
        <w:spacing w:after="80"/>
      </w:pPr>
      <w:r>
        <w:rPr>
          <w:rFonts w:ascii="Arial" w:cs="Arial" w:eastAsia="Arial" w:hAnsi="Arial"/>
          <w:color w:val="1a1917"/>
          <w:sz w:val="20"/>
          <w:szCs w:val="20"/>
        </w:rPr>
        <w:t xml:space="preserve">Sign in to </w:t>
      </w:r>
      <w:r>
        <w:rPr>
          <w:rFonts w:ascii="Arial" w:cs="Arial" w:eastAsia="Arial" w:hAnsi="Arial"/>
          <w:b/>
          <w:bCs/>
          <w:color w:val="1a1917"/>
          <w:sz w:val="20"/>
          <w:szCs w:val="20"/>
        </w:rPr>
        <w:t xml:space="preserve">portal.azure.com</w:t>
      </w:r>
      <w:r>
        <w:rPr>
          <w:rFonts w:ascii="Arial" w:cs="Arial" w:eastAsia="Arial" w:hAnsi="Arial"/>
          <w:color w:val="1a1917"/>
          <w:sz w:val="20"/>
          <w:szCs w:val="20"/>
        </w:rPr>
        <w:t xml:space="preserve"> as an account with Application Administrator or Global Administrator rights.</w:t>
      </w:r>
    </w:p>
    <w:p>
      <w:pPr>
        <w:pStyle w:val="ListParagraph"/>
        <w:numPr>
          <w:ilvl w:val="0"/>
          <w:numId w:val="2"/>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Microsoft Entra ID → App registrations → New registration</w:t>
      </w:r>
    </w:p>
    <w:p>
      <w:pPr>
        <w:pStyle w:val="ListParagraph"/>
        <w:numPr>
          <w:ilvl w:val="0"/>
          <w:numId w:val="2"/>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Name</w:t>
      </w:r>
      <w:r>
        <w:rPr>
          <w:rFonts w:ascii="Arial" w:cs="Arial" w:eastAsia="Arial" w:hAnsi="Arial"/>
          <w:color w:val="1a1917"/>
          <w:sz w:val="20"/>
          <w:szCs w:val="20"/>
        </w:rPr>
        <w:t xml:space="preserve"> to </w:t>
      </w:r>
      <w:r>
        <w:rPr>
          <w:rFonts w:ascii="Courier New" w:cs="Courier New" w:eastAsia="Courier New" w:hAnsi="Courier New"/>
          <w:color w:val="1E2430"/>
          <w:sz w:val="18"/>
          <w:szCs w:val="18"/>
        </w:rPr>
        <w:t xml:space="preserve">PolicyHub</w:t>
      </w:r>
    </w:p>
    <w:p>
      <w:pPr>
        <w:pStyle w:val="ListParagraph"/>
        <w:numPr>
          <w:ilvl w:val="0"/>
          <w:numId w:val="2"/>
        </w:numPr>
        <w:spacing w:after="80"/>
      </w:pPr>
      <w:r>
        <w:rPr>
          <w:rFonts w:ascii="Arial" w:cs="Arial" w:eastAsia="Arial" w:hAnsi="Arial"/>
          <w:color w:val="1a1917"/>
          <w:sz w:val="20"/>
          <w:szCs w:val="20"/>
        </w:rPr>
        <w:t xml:space="preserve">Under </w:t>
      </w:r>
      <w:r>
        <w:rPr>
          <w:rFonts w:ascii="Arial" w:cs="Arial" w:eastAsia="Arial" w:hAnsi="Arial"/>
          <w:b/>
          <w:bCs/>
          <w:color w:val="1a1917"/>
          <w:sz w:val="20"/>
          <w:szCs w:val="20"/>
        </w:rPr>
        <w:t xml:space="preserve">Supported account types</w:t>
      </w:r>
      <w:r>
        <w:rPr>
          <w:rFonts w:ascii="Arial" w:cs="Arial" w:eastAsia="Arial" w:hAnsi="Arial"/>
          <w:color w:val="1a1917"/>
          <w:sz w:val="20"/>
          <w:szCs w:val="20"/>
        </w:rPr>
        <w:t xml:space="preserve">, select </w:t>
      </w:r>
      <w:r>
        <w:rPr>
          <w:rFonts w:ascii="Arial" w:cs="Arial" w:eastAsia="Arial" w:hAnsi="Arial"/>
          <w:b/>
          <w:bCs/>
          <w:color w:val="1a1917"/>
          <w:sz w:val="20"/>
          <w:szCs w:val="20"/>
        </w:rPr>
        <w:t xml:space="preserve">Accounts in this organizational directory only</w:t>
      </w:r>
    </w:p>
    <w:p>
      <w:pPr>
        <w:pStyle w:val="ListParagraph"/>
        <w:numPr>
          <w:ilvl w:val="0"/>
          <w:numId w:val="2"/>
        </w:numPr>
        <w:spacing w:after="80"/>
      </w:pPr>
      <w:r>
        <w:rPr>
          <w:rFonts w:ascii="Arial" w:cs="Arial" w:eastAsia="Arial" w:hAnsi="Arial"/>
          <w:color w:val="1a1917"/>
          <w:sz w:val="20"/>
          <w:szCs w:val="20"/>
        </w:rPr>
        <w:t xml:space="preserve">Leave </w:t>
      </w:r>
      <w:r>
        <w:rPr>
          <w:rFonts w:ascii="Arial" w:cs="Arial" w:eastAsia="Arial" w:hAnsi="Arial"/>
          <w:b/>
          <w:bCs/>
          <w:color w:val="1a1917"/>
          <w:sz w:val="20"/>
          <w:szCs w:val="20"/>
        </w:rPr>
        <w:t xml:space="preserve">Redirect URI</w:t>
      </w:r>
      <w:r>
        <w:rPr>
          <w:rFonts w:ascii="Arial" w:cs="Arial" w:eastAsia="Arial" w:hAnsi="Arial"/>
          <w:color w:val="1a1917"/>
          <w:sz w:val="20"/>
          <w:szCs w:val="20"/>
        </w:rPr>
        <w:t xml:space="preserve"> blank — configured in Step 2</w:t>
      </w:r>
    </w:p>
    <w:p>
      <w:pPr>
        <w:pStyle w:val="ListParagraph"/>
        <w:numPr>
          <w:ilvl w:val="0"/>
          <w:numId w:val="2"/>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Register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6"/>
              <w:bottom w:val="single" w:color="0F6E56" w:sz="1"/>
              <w:right w:val="single" w:color="0F6E56" w:sz="1"/>
            </w:tcBorders>
            <w:shd w:fill="E1F5EE" w:val="clear"/>
            <w:tcMar>
              <w:top w:type="dxa" w:w="80"/>
              <w:left w:type="dxa" w:w="180"/>
              <w:bottom w:type="dxa" w:w="80"/>
              <w:right w:type="dxa" w:w="180"/>
            </w:tcMar>
          </w:tcPr>
          <w:p>
            <w:pPr>
              <w:spacing w:after="60"/>
            </w:pPr>
            <w:r>
              <w:rPr>
                <w:rFonts w:ascii="Arial" w:cs="Arial" w:eastAsia="Arial" w:hAnsi="Arial"/>
                <w:b/>
                <w:bCs/>
                <w:color w:val="0F6E56"/>
                <w:sz w:val="18"/>
                <w:szCs w:val="18"/>
              </w:rPr>
              <w:t xml:space="preserve">Note the Application (client) ID now</w:t>
            </w:r>
          </w:p>
          <w:p>
            <w:pPr>
              <w:spacing w:after="0"/>
            </w:pPr>
            <w:r>
              <w:rPr>
                <w:rFonts w:ascii="Arial" w:cs="Arial" w:eastAsia="Arial" w:hAnsi="Arial"/>
                <w:color w:val="1a1917"/>
                <w:sz w:val="18"/>
                <w:szCs w:val="18"/>
              </w:rPr>
              <w:t xml:space="preserve">After clicking Register, the Application (client) ID (a UUID) is shown on the overview page. Copy it — this is IDP_CLIENT_ID. Find it again at App registrations → PolicyHub → Overview.</w:t>
            </w:r>
          </w:p>
        </w:tc>
      </w:tr>
    </w:tbl>
    <w:p>
      <w:pPr>
        <w:spacing w:after="0" w:before="4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2 of 7</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Configure redirect URIs</w:t>
      </w:r>
    </w:p>
    <w:p>
      <w:pPr>
        <w:spacing w:after="120"/>
      </w:pPr>
      <w:r>
        <w:rPr>
          <w:rFonts w:ascii="Arial" w:cs="Arial" w:eastAsia="Arial" w:hAnsi="Arial"/>
          <w:color w:val="1a1917"/>
          <w:sz w:val="20"/>
          <w:szCs w:val="20"/>
        </w:rPr>
        <w:t xml:space="preserve">Redirect URIs are the callback URLs Entra will send the user back to after authentication. Every environment must be registered — Entra rejects any unregistered URI.</w:t>
      </w:r>
    </w:p>
    <w:p>
      <w:pPr>
        <w:spacing w:after="0" w:before="40"/>
      </w:pPr>
    </w:p>
    <w:p>
      <w:pPr>
        <w:pStyle w:val="ListParagraph"/>
        <w:numPr>
          <w:ilvl w:val="0"/>
          <w:numId w:val="2"/>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Authentication → Add a platform → Web</w:t>
      </w:r>
    </w:p>
    <w:p>
      <w:pPr>
        <w:pStyle w:val="ListParagraph"/>
        <w:numPr>
          <w:ilvl w:val="0"/>
          <w:numId w:val="2"/>
        </w:numPr>
        <w:spacing w:after="80"/>
      </w:pPr>
      <w:r>
        <w:rPr>
          <w:rFonts w:ascii="Arial" w:cs="Arial" w:eastAsia="Arial" w:hAnsi="Arial"/>
          <w:color w:val="1a1917"/>
          <w:sz w:val="20"/>
          <w:szCs w:val="20"/>
        </w:rPr>
        <w:t xml:space="preserve">Add all of the following redirect URIs:</w:t>
      </w:r>
    </w:p>
    <w:p>
      <w:pPr>
        <w:spacing w:after="40"/>
      </w:pPr>
      <w:r>
        <w:rPr>
          <w:rFonts w:ascii="Arial" w:cs="Arial" w:eastAsia="Arial" w:hAnsi="Arial"/>
          <w:b/>
          <w:bCs/>
          <w:color w:val="6b6a67"/>
          <w:sz w:val="16"/>
          <w:szCs w:val="16"/>
        </w:rPr>
        <w:t xml:space="preserve">Redirect URIs to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Local development</w:t>
            </w:r>
          </w:p>
          <w:p>
            <w:pPr>
              <w:spacing w:after="40"/>
            </w:pPr>
            <w:r>
              <w:rPr>
                <w:rFonts w:ascii="Courier New" w:cs="Courier New" w:eastAsia="Courier New" w:hAnsi="Courier New"/>
                <w:color w:val="1E2430"/>
                <w:sz w:val="18"/>
                <w:szCs w:val="18"/>
              </w:rPr>
              <w:t xml:space="preserve">http://localhost:3333/auth/sso/callback</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Staging</w:t>
            </w:r>
          </w:p>
          <w:p>
            <w:pPr>
              <w:spacing w:after="40"/>
            </w:pPr>
            <w:r>
              <w:rPr>
                <w:rFonts w:ascii="Courier New" w:cs="Courier New" w:eastAsia="Courier New" w:hAnsi="Courier New"/>
                <w:color w:val="1E2430"/>
                <w:sz w:val="18"/>
                <w:szCs w:val="18"/>
              </w:rPr>
              <w:t xml:space="preserve">https://policyhub-staging.yourcompany.com/auth/sso/callback</w:t>
            </w:r>
          </w:p>
          <w:p>
            <w:pPr>
              <w:spacing w:after="40"/>
            </w:pPr>
            <w:r>
              <w:rPr>
                <w:rFonts w:ascii="Courier New" w:cs="Courier New" w:eastAsia="Courier New" w:hAnsi="Courier New"/>
                <w:color w:val="1E2430"/>
                <w:sz w:val="18"/>
                <w:szCs w:val="18"/>
              </w:rPr>
              <w:t xml:space="preserve"/>
            </w:r>
          </w:p>
          <w:p>
            <w:pPr>
              <w:spacing w:after="40"/>
            </w:pPr>
            <w:r>
              <w:rPr>
                <w:rFonts w:ascii="Courier New" w:cs="Courier New" w:eastAsia="Courier New" w:hAnsi="Courier New"/>
                <w:color w:val="1E2430"/>
                <w:sz w:val="18"/>
                <w:szCs w:val="18"/>
              </w:rPr>
              <w:t xml:space="preserve"># Production</w:t>
            </w:r>
          </w:p>
          <w:p>
            <w:pPr>
              <w:spacing w:after="0"/>
            </w:pPr>
            <w:r>
              <w:rPr>
                <w:rFonts w:ascii="Courier New" w:cs="Courier New" w:eastAsia="Courier New" w:hAnsi="Courier New"/>
                <w:color w:val="1E2430"/>
                <w:sz w:val="18"/>
                <w:szCs w:val="18"/>
              </w:rPr>
              <w:t xml:space="preserve">https://policyhub.yourcompany.com/auth/sso/callback</w:t>
            </w:r>
          </w:p>
        </w:tc>
      </w:tr>
    </w:tbl>
    <w:p>
      <w:pPr>
        <w:spacing w:after="0" w:before="100"/>
      </w:pPr>
    </w:p>
    <w:p>
      <w:pPr>
        <w:pStyle w:val="ListParagraph"/>
        <w:numPr>
          <w:ilvl w:val="0"/>
          <w:numId w:val="3"/>
        </w:numPr>
        <w:spacing w:after="80"/>
      </w:pPr>
      <w:r>
        <w:rPr>
          <w:rFonts w:ascii="Arial" w:cs="Arial" w:eastAsia="Arial" w:hAnsi="Arial"/>
          <w:color w:val="1a1917"/>
          <w:sz w:val="20"/>
          <w:szCs w:val="20"/>
        </w:rPr>
        <w:t xml:space="preserve">Under </w:t>
      </w:r>
      <w:r>
        <w:rPr>
          <w:rFonts w:ascii="Arial" w:cs="Arial" w:eastAsia="Arial" w:hAnsi="Arial"/>
          <w:b/>
          <w:bCs/>
          <w:color w:val="1a1917"/>
          <w:sz w:val="20"/>
          <w:szCs w:val="20"/>
        </w:rPr>
        <w:t xml:space="preserve">Front-channel logout URL</w:t>
      </w:r>
      <w:r>
        <w:rPr>
          <w:rFonts w:ascii="Arial" w:cs="Arial" w:eastAsia="Arial" w:hAnsi="Arial"/>
          <w:color w:val="1a1917"/>
          <w:sz w:val="20"/>
          <w:szCs w:val="20"/>
        </w:rPr>
        <w:t xml:space="preserve">, leave blank</w:t>
      </w:r>
    </w:p>
    <w:p>
      <w:pPr>
        <w:pStyle w:val="ListParagraph"/>
        <w:numPr>
          <w:ilvl w:val="0"/>
          <w:numId w:val="3"/>
        </w:numPr>
        <w:spacing w:after="80"/>
      </w:pPr>
      <w:r>
        <w:rPr>
          <w:rFonts w:ascii="Arial" w:cs="Arial" w:eastAsia="Arial" w:hAnsi="Arial"/>
          <w:color w:val="1a1917"/>
          <w:sz w:val="20"/>
          <w:szCs w:val="20"/>
        </w:rPr>
        <w:t xml:space="preserve">Under </w:t>
      </w:r>
      <w:r>
        <w:rPr>
          <w:rFonts w:ascii="Arial" w:cs="Arial" w:eastAsia="Arial" w:hAnsi="Arial"/>
          <w:b/>
          <w:bCs/>
          <w:color w:val="1a1917"/>
          <w:sz w:val="20"/>
          <w:szCs w:val="20"/>
        </w:rPr>
        <w:t xml:space="preserve">Implicit grant and hybrid flows</w:t>
      </w:r>
      <w:r>
        <w:rPr>
          <w:rFonts w:ascii="Arial" w:cs="Arial" w:eastAsia="Arial" w:hAnsi="Arial"/>
          <w:color w:val="1a1917"/>
          <w:sz w:val="20"/>
          <w:szCs w:val="20"/>
        </w:rPr>
        <w:t xml:space="preserve">, leave </w:t>
      </w:r>
      <w:r>
        <w:rPr>
          <w:rFonts w:ascii="Arial" w:cs="Arial" w:eastAsia="Arial" w:hAnsi="Arial"/>
          <w:b/>
          <w:bCs/>
          <w:color w:val="1a1917"/>
          <w:sz w:val="20"/>
          <w:szCs w:val="20"/>
        </w:rPr>
        <w:t xml:space="preserve">both checkboxes unchecked</w:t>
      </w:r>
      <w:r>
        <w:rPr>
          <w:rFonts w:ascii="Arial" w:cs="Arial" w:eastAsia="Arial" w:hAnsi="Arial"/>
          <w:color w:val="1a1917"/>
          <w:sz w:val="20"/>
          <w:szCs w:val="20"/>
        </w:rPr>
        <w:t xml:space="preserve"> — PolicyHub uses authorisation code flow, not implicit.</w:t>
      </w:r>
    </w:p>
    <w:p>
      <w:pPr>
        <w:pStyle w:val="ListParagraph"/>
        <w:numPr>
          <w:ilvl w:val="0"/>
          <w:numId w:val="3"/>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Save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1"/>
              <w:left w:val="single" w:color="854F0B" w:sz="6"/>
              <w:bottom w:val="single" w:color="854F0B" w:sz="1"/>
              <w:right w:val="single" w:color="854F0B" w:sz="1"/>
            </w:tcBorders>
            <w:shd w:fill="FAEEDA" w:val="clear"/>
            <w:tcMar>
              <w:top w:type="dxa" w:w="80"/>
              <w:left w:type="dxa" w:w="180"/>
              <w:bottom w:type="dxa" w:w="80"/>
              <w:right w:type="dxa" w:w="180"/>
            </w:tcMar>
          </w:tcPr>
          <w:p>
            <w:pPr>
              <w:spacing w:after="60"/>
            </w:pPr>
            <w:r>
              <w:rPr>
                <w:rFonts w:ascii="Arial" w:cs="Arial" w:eastAsia="Arial" w:hAnsi="Arial"/>
                <w:b/>
                <w:bCs/>
                <w:color w:val="854F0B"/>
                <w:sz w:val="18"/>
                <w:szCs w:val="18"/>
              </w:rPr>
              <w:t xml:space="preserve">URI matching is exact</w:t>
            </w:r>
          </w:p>
          <w:p>
            <w:pPr>
              <w:spacing w:after="0"/>
            </w:pPr>
            <w:r>
              <w:rPr>
                <w:rFonts w:ascii="Arial" w:cs="Arial" w:eastAsia="Arial" w:hAnsi="Arial"/>
                <w:color w:val="1a1917"/>
                <w:sz w:val="18"/>
                <w:szCs w:val="18"/>
              </w:rPr>
              <w:t xml:space="preserve">Entra matches redirect URIs exactly — including scheme, host, port, and path. The URIs above must match the IDP_CALLBACK_URL environment variable in the application exactly.</w:t>
            </w:r>
          </w:p>
        </w:tc>
      </w:tr>
    </w:tbl>
    <w:p>
      <w:pPr>
        <w:spacing w:after="0" w:before="4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3 of 7</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Create a client secret</w:t>
      </w:r>
    </w:p>
    <w:p>
      <w:pPr>
        <w:spacing w:after="120"/>
      </w:pPr>
      <w:r>
        <w:rPr>
          <w:rFonts w:ascii="Arial" w:cs="Arial" w:eastAsia="Arial" w:hAnsi="Arial"/>
          <w:color w:val="1a1917"/>
          <w:sz w:val="20"/>
          <w:szCs w:val="20"/>
        </w:rPr>
        <w:t xml:space="preserve">The client secret authenticates PolicyHub to Entra when exchanging the authorisation code for tokens. Treat it like a password.</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1"/>
              <w:left w:val="single" w:color="A32D2D" w:sz="6"/>
              <w:bottom w:val="single" w:color="A32D2D" w:sz="1"/>
              <w:right w:val="single" w:color="A32D2D" w:sz="1"/>
            </w:tcBorders>
            <w:shd w:fill="FCEBEB" w:val="clear"/>
            <w:tcMar>
              <w:top w:type="dxa" w:w="80"/>
              <w:left w:type="dxa" w:w="180"/>
              <w:bottom w:type="dxa" w:w="80"/>
              <w:right w:type="dxa" w:w="180"/>
            </w:tcMar>
          </w:tcPr>
          <w:p>
            <w:pPr>
              <w:spacing w:after="60"/>
            </w:pPr>
            <w:r>
              <w:rPr>
                <w:rFonts w:ascii="Arial" w:cs="Arial" w:eastAsia="Arial" w:hAnsi="Arial"/>
                <w:b/>
                <w:bCs/>
                <w:color w:val="A32D2D"/>
                <w:sz w:val="18"/>
                <w:szCs w:val="18"/>
              </w:rPr>
              <w:t xml:space="preserve">Secret security</w:t>
            </w:r>
          </w:p>
          <w:p>
            <w:pPr>
              <w:spacing w:after="0"/>
            </w:pPr>
            <w:r>
              <w:rPr>
                <w:rFonts w:ascii="Arial" w:cs="Arial" w:eastAsia="Arial" w:hAnsi="Arial"/>
                <w:color w:val="1a1917"/>
                <w:sz w:val="18"/>
                <w:szCs w:val="18"/>
              </w:rPr>
              <w:t xml:space="preserve">The secret value is shown only once at creation. Copy it immediately and store in the password manager. Pass to the development team via the password manager only — never via Slack, email, or a shared document.</w:t>
            </w:r>
          </w:p>
        </w:tc>
      </w:tr>
    </w:tbl>
    <w:p>
      <w:pPr>
        <w:spacing w:after="0" w:before="40"/>
      </w:pPr>
    </w:p>
    <w:p>
      <w:pPr>
        <w:spacing w:after="0" w:before="60"/>
      </w:pPr>
    </w:p>
    <w:p>
      <w:pPr>
        <w:pStyle w:val="ListParagraph"/>
        <w:numPr>
          <w:ilvl w:val="0"/>
          <w:numId w:val="4"/>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Certificates &amp; secrets → Client secrets → New client secret</w:t>
      </w:r>
    </w:p>
    <w:p>
      <w:pPr>
        <w:pStyle w:val="ListParagraph"/>
        <w:numPr>
          <w:ilvl w:val="0"/>
          <w:numId w:val="4"/>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Description</w:t>
      </w:r>
      <w:r>
        <w:rPr>
          <w:rFonts w:ascii="Arial" w:cs="Arial" w:eastAsia="Arial" w:hAnsi="Arial"/>
          <w:color w:val="1a1917"/>
          <w:sz w:val="20"/>
          <w:szCs w:val="20"/>
        </w:rPr>
        <w:t xml:space="preserve"> to </w:t>
      </w:r>
      <w:r>
        <w:rPr>
          <w:rFonts w:ascii="Courier New" w:cs="Courier New" w:eastAsia="Courier New" w:hAnsi="Courier New"/>
          <w:color w:val="1E2430"/>
          <w:sz w:val="18"/>
          <w:szCs w:val="18"/>
        </w:rPr>
        <w:t xml:space="preserve">policyhub-production</w:t>
      </w:r>
      <w:r>
        <w:rPr>
          <w:rFonts w:ascii="Arial" w:cs="Arial" w:eastAsia="Arial" w:hAnsi="Arial"/>
          <w:color w:val="1a1917"/>
          <w:sz w:val="20"/>
          <w:szCs w:val="20"/>
        </w:rPr>
        <w:t xml:space="preserve"> (or </w:t>
      </w:r>
      <w:r>
        <w:rPr>
          <w:rFonts w:ascii="Courier New" w:cs="Courier New" w:eastAsia="Courier New" w:hAnsi="Courier New"/>
          <w:color w:val="1E2430"/>
          <w:sz w:val="18"/>
          <w:szCs w:val="18"/>
        </w:rPr>
        <w:t xml:space="preserve">policyhub-staging</w:t>
      </w:r>
      <w:r>
        <w:rPr>
          <w:rFonts w:ascii="Arial" w:cs="Arial" w:eastAsia="Arial" w:hAnsi="Arial"/>
          <w:color w:val="1a1917"/>
          <w:sz w:val="20"/>
          <w:szCs w:val="20"/>
        </w:rPr>
        <w:t xml:space="preserve"> for staging).</w:t>
      </w:r>
    </w:p>
    <w:p>
      <w:pPr>
        <w:pStyle w:val="ListParagraph"/>
        <w:numPr>
          <w:ilvl w:val="0"/>
          <w:numId w:val="4"/>
        </w:numPr>
        <w:spacing w:after="80"/>
      </w:pPr>
      <w:r>
        <w:rPr>
          <w:rFonts w:ascii="Arial" w:cs="Arial" w:eastAsia="Arial" w:hAnsi="Arial"/>
          <w:color w:val="1a1917"/>
          <w:sz w:val="20"/>
          <w:szCs w:val="20"/>
        </w:rPr>
        <w:t xml:space="preserve">Set </w:t>
      </w:r>
      <w:r>
        <w:rPr>
          <w:rFonts w:ascii="Arial" w:cs="Arial" w:eastAsia="Arial" w:hAnsi="Arial"/>
          <w:b/>
          <w:bCs/>
          <w:color w:val="1a1917"/>
          <w:sz w:val="20"/>
          <w:szCs w:val="20"/>
        </w:rPr>
        <w:t xml:space="preserve">Expires</w:t>
      </w:r>
      <w:r>
        <w:rPr>
          <w:rFonts w:ascii="Arial" w:cs="Arial" w:eastAsia="Arial" w:hAnsi="Arial"/>
          <w:color w:val="1a1917"/>
          <w:sz w:val="20"/>
          <w:szCs w:val="20"/>
        </w:rPr>
        <w:t xml:space="preserve"> to </w:t>
      </w:r>
      <w:r>
        <w:rPr>
          <w:rFonts w:ascii="Arial" w:cs="Arial" w:eastAsia="Arial" w:hAnsi="Arial"/>
          <w:b/>
          <w:bCs/>
          <w:color w:val="1a1917"/>
          <w:sz w:val="20"/>
          <w:szCs w:val="20"/>
        </w:rPr>
        <w:t xml:space="preserve">12 months</w:t>
      </w:r>
      <w:r>
        <w:rPr>
          <w:rFonts w:ascii="Arial" w:cs="Arial" w:eastAsia="Arial" w:hAnsi="Arial"/>
          <w:color w:val="1a1917"/>
          <w:sz w:val="20"/>
          <w:szCs w:val="20"/>
        </w:rPr>
        <w:t xml:space="preserve">. Set a calendar reminder 2 weeks before expiry to rotate it.</w:t>
      </w:r>
    </w:p>
    <w:p>
      <w:pPr>
        <w:pStyle w:val="ListParagraph"/>
        <w:numPr>
          <w:ilvl w:val="0"/>
          <w:numId w:val="4"/>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Add</w:t>
      </w:r>
    </w:p>
    <w:p>
      <w:pPr>
        <w:pStyle w:val="ListParagraph"/>
        <w:numPr>
          <w:ilvl w:val="0"/>
          <w:numId w:val="4"/>
        </w:numPr>
        <w:spacing w:after="80"/>
      </w:pPr>
      <w:r>
        <w:rPr>
          <w:rFonts w:ascii="Arial" w:cs="Arial" w:eastAsia="Arial" w:hAnsi="Arial"/>
          <w:color w:val="1a1917"/>
          <w:sz w:val="20"/>
          <w:szCs w:val="20"/>
        </w:rPr>
        <w:t xml:space="preserve">Copy the </w:t>
      </w:r>
      <w:r>
        <w:rPr>
          <w:rFonts w:ascii="Arial" w:cs="Arial" w:eastAsia="Arial" w:hAnsi="Arial"/>
          <w:b/>
          <w:bCs/>
          <w:color w:val="1a1917"/>
          <w:sz w:val="20"/>
          <w:szCs w:val="20"/>
        </w:rPr>
        <w:t xml:space="preserve">Value</w:t>
      </w:r>
      <w:r>
        <w:rPr>
          <w:rFonts w:ascii="Arial" w:cs="Arial" w:eastAsia="Arial" w:hAnsi="Arial"/>
          <w:color w:val="1a1917"/>
          <w:sz w:val="20"/>
          <w:szCs w:val="20"/>
        </w:rPr>
        <w:t xml:space="preserve"> column immediately (not the Secret ID). Store in password manager now as IDP_CLIENT_SECRET.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6"/>
              <w:bottom w:val="single" w:color="0F6E56" w:sz="1"/>
              <w:right w:val="single" w:color="0F6E56" w:sz="1"/>
            </w:tcBorders>
            <w:shd w:fill="E1F5EE" w:val="clear"/>
            <w:tcMar>
              <w:top w:type="dxa" w:w="80"/>
              <w:left w:type="dxa" w:w="180"/>
              <w:bottom w:type="dxa" w:w="80"/>
              <w:right w:type="dxa" w:w="180"/>
            </w:tcMar>
          </w:tcPr>
          <w:p>
            <w:pPr>
              <w:spacing w:after="60"/>
            </w:pPr>
            <w:r>
              <w:rPr>
                <w:rFonts w:ascii="Arial" w:cs="Arial" w:eastAsia="Arial" w:hAnsi="Arial"/>
                <w:b/>
                <w:bCs/>
                <w:color w:val="0F6E56"/>
                <w:sz w:val="18"/>
                <w:szCs w:val="18"/>
              </w:rPr>
              <w:t xml:space="preserve">Zero-downtime rotation</w:t>
            </w:r>
          </w:p>
          <w:p>
            <w:pPr>
              <w:spacing w:after="0"/>
            </w:pPr>
            <w:r>
              <w:rPr>
                <w:rFonts w:ascii="Arial" w:cs="Arial" w:eastAsia="Arial" w:hAnsi="Arial"/>
                <w:color w:val="1a1917"/>
                <w:sz w:val="18"/>
                <w:szCs w:val="18"/>
              </w:rPr>
              <w:t xml:space="preserve">To rotate: create a new secret first (both will be valid), update IDP_CLIENT_SECRET in all environments, restart the app, then delete the old secret.</w:t>
            </w:r>
          </w:p>
        </w:tc>
      </w:tr>
    </w:tbl>
    <w:p>
      <w:pPr>
        <w:spacing w:after="0" w:before="4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4 of 7</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Enable the groups claim</w:t>
      </w:r>
    </w:p>
    <w:p>
      <w:pPr>
        <w:spacing w:after="120"/>
      </w:pPr>
      <w:r>
        <w:rPr>
          <w:rFonts w:ascii="Arial" w:cs="Arial" w:eastAsia="Arial" w:hAnsi="Arial"/>
          <w:color w:val="1a1917"/>
          <w:sz w:val="20"/>
          <w:szCs w:val="20"/>
        </w:rPr>
        <w:t xml:space="preserve">PolicyHub maps Entra group memberships to application roles at login. The ID token must include the user's group IDs — this is not enabled by default.</w:t>
      </w:r>
    </w:p>
    <w:p>
      <w:pPr>
        <w:spacing w:after="0" w:before="40"/>
      </w:pPr>
    </w:p>
    <w:p>
      <w:pPr>
        <w:pStyle w:val="Heading3"/>
        <w:spacing w:after="60" w:before="240"/>
      </w:pPr>
      <w:r>
        <w:rPr>
          <w:rFonts w:ascii="Arial" w:cs="Arial" w:eastAsia="Arial" w:hAnsi="Arial"/>
          <w:b/>
          <w:bCs/>
          <w:color w:val="185FA5"/>
          <w:sz w:val="22"/>
          <w:szCs w:val="22"/>
        </w:rPr>
        <w:t xml:space="preserve">Option A — Token configuration UI (recommended)</w:t>
      </w:r>
    </w:p>
    <w:p>
      <w:pPr>
        <w:pStyle w:val="ListParagraph"/>
        <w:numPr>
          <w:ilvl w:val="0"/>
          <w:numId w:val="5"/>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Token configuration → Add groups claim</w:t>
      </w:r>
    </w:p>
    <w:p>
      <w:pPr>
        <w:pStyle w:val="ListParagraph"/>
        <w:numPr>
          <w:ilvl w:val="0"/>
          <w:numId w:val="5"/>
        </w:numPr>
        <w:spacing w:after="80"/>
      </w:pPr>
      <w:r>
        <w:rPr>
          <w:rFonts w:ascii="Arial" w:cs="Arial" w:eastAsia="Arial" w:hAnsi="Arial"/>
          <w:color w:val="1a1917"/>
          <w:sz w:val="20"/>
          <w:szCs w:val="20"/>
        </w:rPr>
        <w:t xml:space="preserve">Select </w:t>
      </w:r>
      <w:r>
        <w:rPr>
          <w:rFonts w:ascii="Arial" w:cs="Arial" w:eastAsia="Arial" w:hAnsi="Arial"/>
          <w:b/>
          <w:bCs/>
          <w:color w:val="1a1917"/>
          <w:sz w:val="20"/>
          <w:szCs w:val="20"/>
        </w:rPr>
        <w:t xml:space="preserve">Security groups</w:t>
      </w:r>
    </w:p>
    <w:p>
      <w:pPr>
        <w:pStyle w:val="ListParagraph"/>
        <w:numPr>
          <w:ilvl w:val="0"/>
          <w:numId w:val="5"/>
        </w:numPr>
        <w:spacing w:after="80"/>
      </w:pPr>
      <w:r>
        <w:rPr>
          <w:rFonts w:ascii="Arial" w:cs="Arial" w:eastAsia="Arial" w:hAnsi="Arial"/>
          <w:color w:val="1a1917"/>
          <w:sz w:val="20"/>
          <w:szCs w:val="20"/>
        </w:rPr>
        <w:t xml:space="preserve">Under </w:t>
      </w:r>
      <w:r>
        <w:rPr>
          <w:rFonts w:ascii="Arial" w:cs="Arial" w:eastAsia="Arial" w:hAnsi="Arial"/>
          <w:b/>
          <w:bCs/>
          <w:color w:val="1a1917"/>
          <w:sz w:val="20"/>
          <w:szCs w:val="20"/>
        </w:rPr>
        <w:t xml:space="preserve">ID token</w:t>
      </w:r>
      <w:r>
        <w:rPr>
          <w:rFonts w:ascii="Arial" w:cs="Arial" w:eastAsia="Arial" w:hAnsi="Arial"/>
          <w:color w:val="1a1917"/>
          <w:sz w:val="20"/>
          <w:szCs w:val="20"/>
        </w:rPr>
        <w:t xml:space="preserve">, select </w:t>
      </w:r>
      <w:r>
        <w:rPr>
          <w:rFonts w:ascii="Arial" w:cs="Arial" w:eastAsia="Arial" w:hAnsi="Arial"/>
          <w:b/>
          <w:bCs/>
          <w:color w:val="1a1917"/>
          <w:sz w:val="20"/>
          <w:szCs w:val="20"/>
        </w:rPr>
        <w:t xml:space="preserve">Group ID</w:t>
      </w:r>
      <w:r>
        <w:rPr>
          <w:rFonts w:ascii="Arial" w:cs="Arial" w:eastAsia="Arial" w:hAnsi="Arial"/>
          <w:color w:val="1a1917"/>
          <w:sz w:val="20"/>
          <w:szCs w:val="20"/>
        </w:rPr>
        <w:t xml:space="preserve">. Leave Access token and SAML token unchecked.</w:t>
      </w:r>
    </w:p>
    <w:p>
      <w:pPr>
        <w:pStyle w:val="ListParagraph"/>
        <w:numPr>
          <w:ilvl w:val="0"/>
          <w:numId w:val="5"/>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Add</w:t>
      </w:r>
    </w:p>
    <w:p>
      <w:pPr>
        <w:spacing w:after="0" w:before="80"/>
      </w:pPr>
    </w:p>
    <w:p>
      <w:pPr>
        <w:pStyle w:val="Heading3"/>
        <w:spacing w:after="60" w:before="240"/>
      </w:pPr>
      <w:r>
        <w:rPr>
          <w:rFonts w:ascii="Arial" w:cs="Arial" w:eastAsia="Arial" w:hAnsi="Arial"/>
          <w:b/>
          <w:bCs/>
          <w:color w:val="185FA5"/>
          <w:sz w:val="22"/>
          <w:szCs w:val="22"/>
        </w:rPr>
        <w:t xml:space="preserve">Option B — App manifest (use if Option A is unavailable)</w:t>
      </w:r>
    </w:p>
    <w:p>
      <w:pPr>
        <w:pStyle w:val="ListParagraph"/>
        <w:numPr>
          <w:ilvl w:val="0"/>
          <w:numId w:val="6"/>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Manifest</w:t>
      </w:r>
    </w:p>
    <w:p>
      <w:pPr>
        <w:pStyle w:val="ListParagraph"/>
        <w:numPr>
          <w:ilvl w:val="0"/>
          <w:numId w:val="6"/>
        </w:numPr>
        <w:spacing w:after="80"/>
      </w:pPr>
      <w:r>
        <w:rPr>
          <w:rFonts w:ascii="Arial" w:cs="Arial" w:eastAsia="Arial" w:hAnsi="Arial"/>
          <w:color w:val="1a1917"/>
          <w:sz w:val="20"/>
          <w:szCs w:val="20"/>
        </w:rPr>
        <w:t xml:space="preserve">Find </w:t>
      </w:r>
      <w:r>
        <w:rPr>
          <w:rFonts w:ascii="Courier New" w:cs="Courier New" w:eastAsia="Courier New" w:hAnsi="Courier New"/>
          <w:color w:val="1E2430"/>
          <w:sz w:val="18"/>
          <w:szCs w:val="18"/>
        </w:rPr>
        <w:t xml:space="preserve">"groupMembershipClaims"</w:t>
      </w:r>
      <w:r>
        <w:rPr>
          <w:rFonts w:ascii="Arial" w:cs="Arial" w:eastAsia="Arial" w:hAnsi="Arial"/>
          <w:color w:val="1a1917"/>
          <w:sz w:val="20"/>
          <w:szCs w:val="20"/>
        </w:rPr>
        <w:t xml:space="preserve"> and change its value to </w:t>
      </w:r>
      <w:r>
        <w:rPr>
          <w:rFonts w:ascii="Courier New" w:cs="Courier New" w:eastAsia="Courier New" w:hAnsi="Courier New"/>
          <w:color w:val="1E2430"/>
          <w:sz w:val="18"/>
          <w:szCs w:val="18"/>
        </w:rPr>
        <w:t xml:space="preserve">"SecurityGroup"</w:t>
      </w:r>
      <w:r>
        <w:rPr>
          <w:rFonts w:ascii="Arial" w:cs="Arial" w:eastAsia="Arial" w:hAnsi="Arial"/>
          <w:color w:val="1a1917"/>
          <w:sz w:val="20"/>
          <w:szCs w:val="20"/>
        </w:rPr>
        <w:t xml:space="preserve">:</w:t>
      </w:r>
    </w:p>
    <w:p>
      <w:pPr>
        <w:spacing w:after="40"/>
      </w:pPr>
      <w:r>
        <w:rPr>
          <w:rFonts w:ascii="Arial" w:cs="Arial" w:eastAsia="Arial" w:hAnsi="Arial"/>
          <w:b/>
          <w:bCs/>
          <w:color w:val="6b6a67"/>
          <w:sz w:val="16"/>
          <w:szCs w:val="16"/>
        </w:rPr>
        <w:t xml:space="preserve">Manifest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0"/>
            </w:pPr>
            <w:r>
              <w:rPr>
                <w:rFonts w:ascii="Courier New" w:cs="Courier New" w:eastAsia="Courier New" w:hAnsi="Courier New"/>
                <w:color w:val="1E2430"/>
                <w:sz w:val="18"/>
                <w:szCs w:val="18"/>
              </w:rPr>
              <w:t xml:space="preserve">"groupMembershipClaims": "SecurityGroup",</w:t>
            </w:r>
          </w:p>
        </w:tc>
      </w:tr>
    </w:tbl>
    <w:p>
      <w:pPr>
        <w:spacing w:after="0" w:before="100"/>
      </w:pPr>
    </w:p>
    <w:p>
      <w:pPr>
        <w:pStyle w:val="ListParagraph"/>
        <w:numPr>
          <w:ilvl w:val="0"/>
          <w:numId w:val="7"/>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Save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1"/>
              <w:left w:val="single" w:color="854F0B" w:sz="6"/>
              <w:bottom w:val="single" w:color="854F0B" w:sz="1"/>
              <w:right w:val="single" w:color="854F0B" w:sz="1"/>
            </w:tcBorders>
            <w:shd w:fill="FAEEDA" w:val="clear"/>
            <w:tcMar>
              <w:top w:type="dxa" w:w="80"/>
              <w:left w:type="dxa" w:w="180"/>
              <w:bottom w:type="dxa" w:w="80"/>
              <w:right w:type="dxa" w:w="180"/>
            </w:tcMar>
          </w:tcPr>
          <w:p>
            <w:pPr>
              <w:spacing w:after="60"/>
            </w:pPr>
            <w:r>
              <w:rPr>
                <w:rFonts w:ascii="Arial" w:cs="Arial" w:eastAsia="Arial" w:hAnsi="Arial"/>
                <w:b/>
                <w:bCs/>
                <w:color w:val="854F0B"/>
                <w:sz w:val="18"/>
                <w:szCs w:val="18"/>
              </w:rPr>
              <w:t xml:space="preserve">Group ID vs group name</w:t>
            </w:r>
          </w:p>
          <w:p>
            <w:pPr>
              <w:spacing w:after="0"/>
            </w:pPr>
            <w:r>
              <w:rPr>
                <w:rFonts w:ascii="Arial" w:cs="Arial" w:eastAsia="Arial" w:hAnsi="Arial"/>
                <w:color w:val="1a1917"/>
                <w:sz w:val="18"/>
                <w:szCs w:val="18"/>
              </w:rPr>
              <w:t xml:space="preserve">The groups claim contains group Object IDs (UUIDs), not display names. When configuring IdP mappings in PolicyHub Admin, you need the Object ID of each Entra group. Find these at Entra ID → Groups → [group name] → Overview → Object ID.</w:t>
            </w:r>
          </w:p>
        </w:tc>
      </w:tr>
    </w:tbl>
    <w:p>
      <w:pPr>
        <w:spacing w:after="0" w:before="40"/>
      </w:pP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1"/>
              <w:left w:val="single" w:color="185FA5" w:sz="6"/>
              <w:bottom w:val="single" w:color="185FA5" w:sz="1"/>
              <w:right w:val="single" w:color="185FA5" w:sz="1"/>
            </w:tcBorders>
            <w:shd w:fill="E6F1FB" w:val="clear"/>
            <w:tcMar>
              <w:top w:type="dxa" w:w="80"/>
              <w:left w:type="dxa" w:w="180"/>
              <w:bottom w:type="dxa" w:w="80"/>
              <w:right w:type="dxa" w:w="180"/>
            </w:tcMar>
          </w:tcPr>
          <w:p>
            <w:pPr>
              <w:spacing w:after="60"/>
            </w:pPr>
            <w:r>
              <w:rPr>
                <w:rFonts w:ascii="Arial" w:cs="Arial" w:eastAsia="Arial" w:hAnsi="Arial"/>
                <w:b/>
                <w:bCs/>
                <w:color w:val="185FA5"/>
                <w:sz w:val="18"/>
                <w:szCs w:val="18"/>
              </w:rPr>
              <w:t xml:space="preserve">Users in more than 200 groups</w:t>
            </w:r>
          </w:p>
          <w:p>
            <w:pPr>
              <w:spacing w:after="0"/>
            </w:pPr>
            <w:r>
              <w:rPr>
                <w:rFonts w:ascii="Arial" w:cs="Arial" w:eastAsia="Arial" w:hAnsi="Arial"/>
                <w:color w:val="1a1917"/>
                <w:sz w:val="18"/>
                <w:szCs w:val="18"/>
              </w:rPr>
              <w:t xml:space="preserve">If a user is in more than 200 groups, Entra omits group IDs from the token and includes a hasgroups claim instead. PolicyHub handles this automatically via the GroupMember.Read.All permission granted in Step 6.</w:t>
            </w:r>
          </w:p>
        </w:tc>
      </w:tr>
    </w:tbl>
    <w:p>
      <w:pPr>
        <w:spacing w:after="0" w:before="4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5 of 7</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Verify ID token claims</w:t>
      </w:r>
    </w:p>
    <w:p>
      <w:pPr>
        <w:spacing w:after="120"/>
      </w:pPr>
      <w:r>
        <w:rPr>
          <w:rFonts w:ascii="Arial" w:cs="Arial" w:eastAsia="Arial" w:hAnsi="Arial"/>
          <w:color w:val="1a1917"/>
          <w:sz w:val="20"/>
          <w:szCs w:val="20"/>
        </w:rPr>
        <w:t xml:space="preserve">PolicyHub reads specific claims from the ID token. Verify these are present and correctly configured.</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tblHeader/>
        </w:trPr>
        <w:tc>
          <w:tcPr>
            <w:tcW w:type="dxa" w:w="16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Claim</w:t>
            </w:r>
          </w:p>
        </w:tc>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Entra default</w:t>
            </w:r>
          </w:p>
        </w:tc>
        <w:tc>
          <w:tcPr>
            <w:tcW w:type="dxa" w:w="5426"/>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Used for</w:t>
            </w:r>
          </w:p>
        </w:tc>
      </w:tr>
      <w:tr>
        <w:tc>
          <w:tcPr>
            <w:tcW w:type="dxa" w:w="16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sub</w:t>
            </w:r>
          </w:p>
        </w:tc>
        <w:tc>
          <w:tcPr>
            <w:tcW w:type="dxa" w:w="20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0F6E56"/>
                <w:sz w:val="17"/>
                <w:szCs w:val="17"/>
              </w:rPr>
              <w:t xml:space="preserve">Included by default</w:t>
            </w:r>
          </w:p>
        </w:tc>
        <w:tc>
          <w:tcPr>
            <w:tcW w:type="dxa" w:w="54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Stored as idp_subject — the permanent unique user identifier.</w:t>
            </w:r>
          </w:p>
        </w:tc>
      </w:tr>
      <w:tr>
        <w:tc>
          <w:tcPr>
            <w:tcW w:type="dxa" w:w="16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email</w:t>
            </w:r>
          </w:p>
        </w:tc>
        <w:tc>
          <w:tcPr>
            <w:tcW w:type="dxa" w:w="20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0F6E56"/>
                <w:sz w:val="17"/>
                <w:szCs w:val="17"/>
              </w:rPr>
              <w:t xml:space="preserve">Included by default</w:t>
            </w:r>
          </w:p>
        </w:tc>
        <w:tc>
          <w:tcPr>
            <w:tcW w:type="dxa" w:w="54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Displayed in UI and used for email notifications.</w:t>
            </w:r>
          </w:p>
        </w:tc>
      </w:tr>
      <w:tr>
        <w:tc>
          <w:tcPr>
            <w:tcW w:type="dxa" w:w="16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name</w:t>
            </w:r>
          </w:p>
        </w:tc>
        <w:tc>
          <w:tcPr>
            <w:tcW w:type="dxa" w:w="20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0F6E56"/>
                <w:sz w:val="17"/>
                <w:szCs w:val="17"/>
              </w:rPr>
              <w:t xml:space="preserve">Included by default</w:t>
            </w:r>
          </w:p>
        </w:tc>
        <w:tc>
          <w:tcPr>
            <w:tcW w:type="dxa" w:w="54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Display name shown in sidebar and comment threads.</w:t>
            </w:r>
          </w:p>
        </w:tc>
      </w:tr>
      <w:tr>
        <w:tc>
          <w:tcPr>
            <w:tcW w:type="dxa" w:w="16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groups</w:t>
            </w:r>
          </w:p>
        </w:tc>
        <w:tc>
          <w:tcPr>
            <w:tcW w:type="dxa" w:w="20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854F0B"/>
                <w:sz w:val="17"/>
                <w:szCs w:val="17"/>
              </w:rPr>
              <w:t xml:space="preserve">Must be enabled (Step 4)</w:t>
            </w:r>
          </w:p>
        </w:tc>
        <w:tc>
          <w:tcPr>
            <w:tcW w:type="dxa" w:w="54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Array of group Object IDs. Mapped to application roles at login.</w:t>
            </w:r>
          </w:p>
        </w:tc>
      </w:tr>
    </w:tbl>
    <w:p>
      <w:pPr>
        <w:spacing w:after="0" w:before="80"/>
      </w:pPr>
    </w:p>
    <w:p>
      <w:pPr>
        <w:spacing w:after="120"/>
      </w:pPr>
      <w:r>
        <w:rPr>
          <w:rFonts w:ascii="Arial" w:cs="Arial" w:eastAsia="Arial" w:hAnsi="Arial"/>
          <w:color w:val="1a1917"/>
          <w:sz w:val="20"/>
          <w:szCs w:val="20"/>
        </w:rPr>
        <w:t xml:space="preserve">To verify token contents during development, decode a token at jwt.ms (Microsoft's own JWT decoder) by initiating a login and capturing the id_token.</w:t>
      </w: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6 of 7</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Grant API permissions</w:t>
      </w:r>
    </w:p>
    <w:p>
      <w:pPr>
        <w:spacing w:after="120"/>
      </w:pPr>
      <w:r>
        <w:rPr>
          <w:rFonts w:ascii="Arial" w:cs="Arial" w:eastAsia="Arial" w:hAnsi="Arial"/>
          <w:color w:val="1a1917"/>
          <w:sz w:val="20"/>
          <w:szCs w:val="20"/>
        </w:rPr>
        <w:t xml:space="preserve">PolicyHub requires a small set of Microsoft Graph permissions to read user profile information and group memberships.</w:t>
      </w:r>
    </w:p>
    <w:p>
      <w:pPr>
        <w:spacing w:after="0" w:before="40"/>
      </w:pPr>
    </w:p>
    <w:p>
      <w:pPr>
        <w:pStyle w:val="ListParagraph"/>
        <w:numPr>
          <w:ilvl w:val="0"/>
          <w:numId w:val="8"/>
        </w:numPr>
        <w:spacing w:after="80"/>
      </w:pPr>
      <w:r>
        <w:rPr>
          <w:rFonts w:ascii="Arial" w:cs="Arial" w:eastAsia="Arial" w:hAnsi="Arial"/>
          <w:color w:val="1a1917"/>
          <w:sz w:val="20"/>
          <w:szCs w:val="20"/>
        </w:rPr>
        <w:t xml:space="preserve">Navigate to </w:t>
      </w:r>
      <w:r>
        <w:rPr>
          <w:rFonts w:ascii="Arial" w:cs="Arial" w:eastAsia="Arial" w:hAnsi="Arial"/>
          <w:b/>
          <w:bCs/>
          <w:color w:val="1a1917"/>
          <w:sz w:val="20"/>
          <w:szCs w:val="20"/>
        </w:rPr>
        <w:t xml:space="preserve">API permissions → Add a permission → Microsoft Graph → Delegated permissions</w:t>
      </w:r>
    </w:p>
    <w:p>
      <w:pPr>
        <w:pStyle w:val="ListParagraph"/>
        <w:numPr>
          <w:ilvl w:val="0"/>
          <w:numId w:val="8"/>
        </w:numPr>
        <w:spacing w:after="80"/>
      </w:pPr>
      <w:r>
        <w:rPr>
          <w:rFonts w:ascii="Arial" w:cs="Arial" w:eastAsia="Arial" w:hAnsi="Arial"/>
          <w:color w:val="1a1917"/>
          <w:sz w:val="20"/>
          <w:szCs w:val="20"/>
        </w:rPr>
        <w:t xml:space="preserve">Search for and add the following four permissions: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tblHeader/>
        </w:trPr>
        <w:tc>
          <w:tcPr>
            <w:tcW w:type="dxa" w:w="24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Permission</w:t>
            </w:r>
          </w:p>
        </w:tc>
        <w:tc>
          <w:tcPr>
            <w:tcW w:type="dxa" w:w="12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Type</w:t>
            </w:r>
          </w:p>
        </w:tc>
        <w:tc>
          <w:tcPr>
            <w:tcW w:type="dxa" w:w="5426"/>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Why</w:t>
            </w:r>
          </w:p>
        </w:tc>
      </w:tr>
      <w:tr>
        <w:tc>
          <w:tcPr>
            <w:tcW w:type="dxa" w:w="24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openid</w:t>
            </w:r>
          </w:p>
        </w:tc>
        <w:tc>
          <w:tcPr>
            <w:tcW w:type="dxa" w:w="1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Delegated</w:t>
            </w:r>
          </w:p>
        </w:tc>
        <w:tc>
          <w:tcPr>
            <w:tcW w:type="dxa" w:w="54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Required for OIDC. Provides the sub claim.</w:t>
            </w:r>
          </w:p>
        </w:tc>
      </w:tr>
      <w:tr>
        <w:tc>
          <w:tcPr>
            <w:tcW w:type="dxa" w:w="24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email</w:t>
            </w:r>
          </w:p>
        </w:tc>
        <w:tc>
          <w:tcPr>
            <w:tcW w:type="dxa" w:w="1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Delegated</w:t>
            </w:r>
          </w:p>
        </w:tc>
        <w:tc>
          <w:tcPr>
            <w:tcW w:type="dxa" w:w="54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Provides the email claim.</w:t>
            </w:r>
          </w:p>
        </w:tc>
      </w:tr>
      <w:tr>
        <w:tc>
          <w:tcPr>
            <w:tcW w:type="dxa" w:w="24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profile</w:t>
            </w:r>
          </w:p>
        </w:tc>
        <w:tc>
          <w:tcPr>
            <w:tcW w:type="dxa" w:w="1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Delegated</w:t>
            </w:r>
          </w:p>
        </w:tc>
        <w:tc>
          <w:tcPr>
            <w:tcW w:type="dxa" w:w="54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Provides name and given_name claims.</w:t>
            </w:r>
          </w:p>
        </w:tc>
      </w:tr>
      <w:tr>
        <w:tc>
          <w:tcPr>
            <w:tcW w:type="dxa" w:w="2400"/>
            <w:tcBorders>
              <w:top w:val="single" w:color="E0DDD8" w:sz="1"/>
              <w:left w:val="single" w:color="E0DDD8" w:sz="1"/>
              <w:bottom w:val="single" w:color="E0DDD8" w:sz="1"/>
              <w:right w:val="single" w:color="E0DDD8" w:sz="1"/>
            </w:tcBorders>
            <w:shd w:fill="F3F4F6" w:val="clear"/>
            <w:tcMar>
              <w:top w:type="dxa" w:w="60"/>
              <w:left w:type="dxa" w:w="120"/>
              <w:bottom w:type="dxa" w:w="60"/>
              <w:right w:type="dxa" w:w="120"/>
            </w:tcMar>
          </w:tcPr>
          <w:p>
            <w:pPr>
              <w:spacing w:after="0"/>
            </w:pPr>
            <w:r>
              <w:rPr>
                <w:rFonts w:ascii="Courier New" w:cs="Courier New" w:eastAsia="Courier New" w:hAnsi="Courier New"/>
                <w:color w:val="1E2430"/>
                <w:sz w:val="16"/>
                <w:szCs w:val="16"/>
              </w:rPr>
              <w:t xml:space="preserve">GroupMember.Read.All</w:t>
            </w:r>
          </w:p>
        </w:tc>
        <w:tc>
          <w:tcPr>
            <w:tcW w:type="dxa" w:w="12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Delegated</w:t>
            </w:r>
          </w:p>
        </w:tc>
        <w:tc>
          <w:tcPr>
            <w:tcW w:type="dxa" w:w="54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6b6a67"/>
                <w:sz w:val="17"/>
                <w:szCs w:val="17"/>
              </w:rPr>
              <w:t xml:space="preserve">Reads groups when user is in &gt; 200 groups.</w:t>
            </w:r>
          </w:p>
        </w:tc>
      </w:tr>
    </w:tbl>
    <w:p>
      <w:pPr>
        <w:spacing w:after="0" w:before="80"/>
      </w:pPr>
    </w:p>
    <w:p>
      <w:pPr>
        <w:pStyle w:val="ListParagraph"/>
        <w:numPr>
          <w:ilvl w:val="0"/>
          <w:numId w:val="9"/>
        </w:numPr>
        <w:spacing w:after="80"/>
      </w:pPr>
      <w:r>
        <w:rPr>
          <w:rFonts w:ascii="Arial" w:cs="Arial" w:eastAsia="Arial" w:hAnsi="Arial"/>
          <w:color w:val="1a1917"/>
          <w:sz w:val="20"/>
          <w:szCs w:val="20"/>
        </w:rPr>
        <w:t xml:space="preserve">Click </w:t>
      </w:r>
      <w:r>
        <w:rPr>
          <w:rFonts w:ascii="Arial" w:cs="Arial" w:eastAsia="Arial" w:hAnsi="Arial"/>
          <w:b/>
          <w:bCs/>
          <w:color w:val="1a1917"/>
          <w:sz w:val="20"/>
          <w:szCs w:val="20"/>
        </w:rPr>
        <w:t xml:space="preserve">Grant admin consent for [your organisation]</w:t>
      </w:r>
      <w:r>
        <w:rPr>
          <w:rFonts w:ascii="Arial" w:cs="Arial" w:eastAsia="Arial" w:hAnsi="Arial"/>
          <w:color w:val="1a1917"/>
          <w:sz w:val="20"/>
          <w:szCs w:val="20"/>
        </w:rPr>
        <w:t xml:space="preserve"> and confirm.</w:t>
      </w:r>
    </w:p>
    <w:p>
      <w:pPr>
        <w:pStyle w:val="ListParagraph"/>
        <w:numPr>
          <w:ilvl w:val="0"/>
          <w:numId w:val="9"/>
        </w:numPr>
        <w:spacing w:after="80"/>
      </w:pPr>
      <w:r>
        <w:rPr>
          <w:rFonts w:ascii="Arial" w:cs="Arial" w:eastAsia="Arial" w:hAnsi="Arial"/>
          <w:color w:val="1a1917"/>
          <w:sz w:val="20"/>
          <w:szCs w:val="20"/>
        </w:rPr>
        <w:t xml:space="preserve">Verify all four permissions show a green </w:t>
      </w:r>
      <w:r>
        <w:rPr>
          <w:rFonts w:ascii="Arial" w:cs="Arial" w:eastAsia="Arial" w:hAnsi="Arial"/>
          <w:b/>
          <w:bCs/>
          <w:color w:val="1a1917"/>
          <w:sz w:val="20"/>
          <w:szCs w:val="20"/>
        </w:rPr>
        <w:t xml:space="preserve">Granted</w:t>
      </w:r>
      <w:r>
        <w:rPr>
          <w:rFonts w:ascii="Arial" w:cs="Arial" w:eastAsia="Arial" w:hAnsi="Arial"/>
          <w:color w:val="1a1917"/>
          <w:sz w:val="20"/>
          <w:szCs w:val="20"/>
        </w:rPr>
        <w:t xml:space="preserve"> status in the Status column.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1"/>
              <w:left w:val="single" w:color="185FA5" w:sz="6"/>
              <w:bottom w:val="single" w:color="185FA5" w:sz="1"/>
              <w:right w:val="single" w:color="185FA5" w:sz="1"/>
            </w:tcBorders>
            <w:shd w:fill="E6F1FB" w:val="clear"/>
            <w:tcMar>
              <w:top w:type="dxa" w:w="80"/>
              <w:left w:type="dxa" w:w="180"/>
              <w:bottom w:type="dxa" w:w="80"/>
              <w:right w:type="dxa" w:w="180"/>
            </w:tcMar>
          </w:tcPr>
          <w:p>
            <w:pPr>
              <w:spacing w:after="60"/>
            </w:pPr>
            <w:r>
              <w:rPr>
                <w:rFonts w:ascii="Arial" w:cs="Arial" w:eastAsia="Arial" w:hAnsi="Arial"/>
                <w:b/>
                <w:bCs/>
                <w:color w:val="185FA5"/>
                <w:sz w:val="18"/>
                <w:szCs w:val="18"/>
              </w:rPr>
              <w:t xml:space="preserve">Admin consent requirement</w:t>
            </w:r>
          </w:p>
          <w:p>
            <w:pPr>
              <w:spacing w:after="0"/>
            </w:pPr>
            <w:r>
              <w:rPr>
                <w:rFonts w:ascii="Arial" w:cs="Arial" w:eastAsia="Arial" w:hAnsi="Arial"/>
                <w:color w:val="1a1917"/>
                <w:sz w:val="18"/>
                <w:szCs w:val="18"/>
              </w:rPr>
              <w:t xml:space="preserve">GroupMember.Read.All requires admin consent. Without it, PolicyHub still works for users in fewer than 200 groups. Grant it now to avoid a support issue later.</w:t>
            </w:r>
          </w:p>
        </w:tc>
      </w:tr>
    </w:tbl>
    <w:p>
      <w:pPr>
        <w:spacing w:after="0" w:before="40"/>
      </w:pPr>
    </w:p>
    <w:p>
      <w:r>
        <w:br w:type="page"/>
      </w:r>
    </w:p>
    <w:p>
      <w:pPr>
        <w:pBdr>
          <w:bottom w:val="single" w:color="E0DDD8" w:sz="1"/>
        </w:pBdr>
        <w:spacing w:after="80" w:before="280"/>
      </w:pPr>
      <w:r>
        <w:rPr>
          <w:rFonts w:ascii="Arial" w:cs="Arial" w:eastAsia="Arial" w:hAnsi="Arial"/>
          <w:b/>
          <w:bCs/>
          <w:color w:val="9e9d9a"/>
          <w:spacing w:val="40"/>
          <w:sz w:val="16"/>
          <w:szCs w:val="16"/>
        </w:rPr>
        <w:t xml:space="preserve">Step 7 of 7</w:t>
      </w:r>
      <w:r>
        <w:rPr>
          <w:rFonts w:ascii="Arial" w:cs="Arial" w:eastAsia="Arial" w:hAnsi="Arial"/>
          <w:color w:val="9e9d9a"/>
          <w:sz w:val="16"/>
          <w:szCs w:val="16"/>
        </w:rPr>
        <w:t xml:space="preserve">  ·  </w:t>
      </w:r>
      <w:r>
        <w:rPr>
          <w:rFonts w:ascii="Arial" w:cs="Arial" w:eastAsia="Arial" w:hAnsi="Arial"/>
          <w:b/>
          <w:bCs/>
          <w:color w:val="1a1917"/>
          <w:sz w:val="24"/>
          <w:szCs w:val="24"/>
        </w:rPr>
        <w:t xml:space="preserve">Extract and hand over values</w:t>
      </w:r>
    </w:p>
    <w:p>
      <w:pPr>
        <w:spacing w:after="120"/>
      </w:pPr>
      <w:r>
        <w:rPr>
          <w:rFonts w:ascii="Arial" w:cs="Arial" w:eastAsia="Arial" w:hAnsi="Arial"/>
          <w:color w:val="1a1917"/>
          <w:sz w:val="20"/>
          <w:szCs w:val="20"/>
        </w:rPr>
        <w:t xml:space="preserve">Collect the three values the development team needs and pass them securely via the team password manager.</w:t>
      </w:r>
    </w:p>
    <w:p>
      <w:pPr>
        <w:spacing w:after="0" w:before="40"/>
      </w:pPr>
    </w:p>
    <w:p>
      <w:pPr>
        <w:pStyle w:val="Heading3"/>
        <w:spacing w:after="60" w:before="240"/>
      </w:pPr>
      <w:r>
        <w:rPr>
          <w:rFonts w:ascii="Arial" w:cs="Arial" w:eastAsia="Arial" w:hAnsi="Arial"/>
          <w:b/>
          <w:bCs/>
          <w:color w:val="185FA5"/>
          <w:sz w:val="22"/>
          <w:szCs w:val="22"/>
        </w:rPr>
        <w:t xml:space="preserve">IDP_ISSUER_URL</w:t>
      </w:r>
    </w:p>
    <w:p>
      <w:pPr>
        <w:spacing w:after="40"/>
      </w:pPr>
      <w:r>
        <w:rPr>
          <w:rFonts w:ascii="Arial" w:cs="Arial" w:eastAsia="Arial" w:hAnsi="Arial"/>
          <w:b/>
          <w:bCs/>
          <w:color w:val="6b6a67"/>
          <w:sz w:val="16"/>
          <w:szCs w:val="16"/>
        </w:rPr>
        <w:t xml:space="preserve">IDP_ISSUER_URL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Format:</w:t>
            </w:r>
          </w:p>
          <w:p>
            <w:pPr>
              <w:spacing w:after="40"/>
            </w:pPr>
            <w:r>
              <w:rPr>
                <w:rFonts w:ascii="Courier New" w:cs="Courier New" w:eastAsia="Courier New" w:hAnsi="Courier New"/>
                <w:color w:val="1E2430"/>
                <w:sz w:val="18"/>
                <w:szCs w:val="18"/>
              </w:rPr>
              <w:t xml:space="preserve">https://login.microsoftonline.com/&lt;tenant-id&gt;/v2.0</w:t>
            </w:r>
          </w:p>
          <w:p>
            <w:pPr>
              <w:spacing w:after="40"/>
            </w:pPr>
            <w:r>
              <w:rPr>
                <w:rFonts w:ascii="Courier New" w:cs="Courier New" w:eastAsia="Courier New" w:hAnsi="Courier New"/>
                <w:color w:val="1E2430"/>
                <w:sz w:val="18"/>
                <w:szCs w:val="18"/>
              </w:rPr>
              <w:t xml:space="preserve"/>
            </w:r>
          </w:p>
          <w:p>
            <w:pPr>
              <w:spacing w:after="0"/>
            </w:pPr>
            <w:r>
              <w:rPr>
                <w:rFonts w:ascii="Courier New" w:cs="Courier New" w:eastAsia="Courier New" w:hAnsi="Courier New"/>
                <w:color w:val="1E2430"/>
                <w:sz w:val="18"/>
                <w:szCs w:val="18"/>
              </w:rPr>
              <w:t xml:space="preserve"># Find your Tenant ID at: Entra ID → Overview → Tenant ID</w:t>
            </w:r>
          </w:p>
        </w:tc>
      </w:tr>
    </w:tbl>
    <w:p>
      <w:pPr>
        <w:spacing w:after="0" w:before="100"/>
      </w:pPr>
    </w:p>
    <w:p>
      <w:pPr>
        <w:pStyle w:val="Heading3"/>
        <w:spacing w:after="60" w:before="240"/>
      </w:pPr>
      <w:r>
        <w:rPr>
          <w:rFonts w:ascii="Arial" w:cs="Arial" w:eastAsia="Arial" w:hAnsi="Arial"/>
          <w:b/>
          <w:bCs/>
          <w:color w:val="185FA5"/>
          <w:sz w:val="22"/>
          <w:szCs w:val="22"/>
        </w:rPr>
        <w:t xml:space="preserve">IDP_CLIENT_ID</w:t>
      </w:r>
    </w:p>
    <w:p>
      <w:pPr>
        <w:spacing w:after="40"/>
      </w:pPr>
      <w:r>
        <w:rPr>
          <w:rFonts w:ascii="Arial" w:cs="Arial" w:eastAsia="Arial" w:hAnsi="Arial"/>
          <w:b/>
          <w:bCs/>
          <w:color w:val="6b6a67"/>
          <w:sz w:val="16"/>
          <w:szCs w:val="16"/>
        </w:rPr>
        <w:t xml:space="preserve">IDP_CLIENT_ID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EDE8" w:sz="1"/>
              <w:left w:val="single" w:color="185FA5" w:sz="4"/>
              <w:bottom w:val="single" w:color="EFEDE8" w:sz="1"/>
              <w:right w:val="single" w:color="EFEDE8" w:sz="1"/>
            </w:tcBorders>
            <w:shd w:fill="F3F4F6" w:val="clear"/>
            <w:tcMar>
              <w:top w:type="dxa" w:w="120"/>
              <w:left w:type="dxa" w:w="200"/>
              <w:bottom w:type="dxa" w:w="120"/>
              <w:right w:type="dxa" w:w="200"/>
            </w:tcMar>
          </w:tcPr>
          <w:p>
            <w:pPr>
              <w:spacing w:after="40"/>
            </w:pPr>
            <w:r>
              <w:rPr>
                <w:rFonts w:ascii="Courier New" w:cs="Courier New" w:eastAsia="Courier New" w:hAnsi="Courier New"/>
                <w:color w:val="1E2430"/>
                <w:sz w:val="18"/>
                <w:szCs w:val="18"/>
              </w:rPr>
              <w:t xml:space="preserve"># Find at: Entra ID → App registrations → PolicyHub → Overview</w:t>
            </w:r>
          </w:p>
          <w:p>
            <w:pPr>
              <w:spacing w:after="0"/>
            </w:pPr>
            <w:r>
              <w:rPr>
                <w:rFonts w:ascii="Courier New" w:cs="Courier New" w:eastAsia="Courier New" w:hAnsi="Courier New"/>
                <w:color w:val="1E2430"/>
                <w:sz w:val="18"/>
                <w:szCs w:val="18"/>
              </w:rPr>
              <w:t xml:space="preserve"># → Application (client) ID</w:t>
            </w:r>
          </w:p>
        </w:tc>
      </w:tr>
    </w:tbl>
    <w:p>
      <w:pPr>
        <w:spacing w:after="0" w:before="100"/>
      </w:pPr>
    </w:p>
    <w:p>
      <w:pPr>
        <w:pStyle w:val="Heading3"/>
        <w:spacing w:after="60" w:before="240"/>
      </w:pPr>
      <w:r>
        <w:rPr>
          <w:rFonts w:ascii="Arial" w:cs="Arial" w:eastAsia="Arial" w:hAnsi="Arial"/>
          <w:b/>
          <w:bCs/>
          <w:color w:val="185FA5"/>
          <w:sz w:val="22"/>
          <w:szCs w:val="22"/>
        </w:rPr>
        <w:t xml:space="preserve">IDP_CLIENT_SECRET</w:t>
      </w:r>
    </w:p>
    <w:p>
      <w:pPr>
        <w:spacing w:after="120"/>
      </w:pPr>
      <w:r>
        <w:rPr>
          <w:rFonts w:ascii="Arial" w:cs="Arial" w:eastAsia="Arial" w:hAnsi="Arial"/>
          <w:color w:val="1a1917"/>
          <w:sz w:val="20"/>
          <w:szCs w:val="20"/>
        </w:rPr>
        <w:t xml:space="preserve">The secret value copied in Step 3. If not copied at creation time, delete and recreate.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1"/>
              <w:left w:val="single" w:color="A32D2D" w:sz="6"/>
              <w:bottom w:val="single" w:color="A32D2D" w:sz="1"/>
              <w:right w:val="single" w:color="A32D2D" w:sz="1"/>
            </w:tcBorders>
            <w:shd w:fill="FCEBEB" w:val="clear"/>
            <w:tcMar>
              <w:top w:type="dxa" w:w="80"/>
              <w:left w:type="dxa" w:w="180"/>
              <w:bottom w:type="dxa" w:w="80"/>
              <w:right w:type="dxa" w:w="180"/>
            </w:tcMar>
          </w:tcPr>
          <w:p>
            <w:pPr>
              <w:spacing w:after="60"/>
            </w:pPr>
            <w:r>
              <w:rPr>
                <w:rFonts w:ascii="Arial" w:cs="Arial" w:eastAsia="Arial" w:hAnsi="Arial"/>
                <w:b/>
                <w:bCs/>
                <w:color w:val="A32D2D"/>
                <w:sz w:val="18"/>
                <w:szCs w:val="18"/>
              </w:rPr>
              <w:t xml:space="preserve">Secure handover only</w:t>
            </w:r>
          </w:p>
          <w:p>
            <w:pPr>
              <w:spacing w:after="0"/>
            </w:pPr>
            <w:r>
              <w:rPr>
                <w:rFonts w:ascii="Arial" w:cs="Arial" w:eastAsia="Arial" w:hAnsi="Arial"/>
                <w:color w:val="1a1917"/>
                <w:sz w:val="18"/>
                <w:szCs w:val="18"/>
              </w:rPr>
              <w:t xml:space="preserve">Share all three values together via a shared password manager vault item (e.g. 1Password, Bitwarden). Never share via Slack, email, or a shared document.</w:t>
            </w:r>
          </w:p>
        </w:tc>
      </w:tr>
    </w:tbl>
    <w:p>
      <w:pPr>
        <w:spacing w:after="0" w:before="40"/>
      </w:pPr>
    </w:p>
    <w:p>
      <w:pPr>
        <w:spacing w:after="0" w:before="60"/>
      </w:pPr>
    </w:p>
    <w:p>
      <w:r>
        <w:br w:type="page"/>
      </w:r>
    </w:p>
    <w:p>
      <w:pPr>
        <w:pStyle w:val="Heading2"/>
        <w:pBdr>
          <w:bottom w:val="single" w:color="E0DDD8" w:sz="1"/>
        </w:pBdr>
        <w:spacing w:after="80" w:before="320"/>
      </w:pPr>
      <w:r>
        <w:rPr>
          <w:rFonts w:ascii="Arial" w:cs="Arial" w:eastAsia="Arial" w:hAnsi="Arial"/>
          <w:b/>
          <w:bCs/>
          <w:color w:val="1a1917"/>
          <w:sz w:val="26"/>
          <w:szCs w:val="26"/>
        </w:rPr>
        <w:t xml:space="preserve">Setup completion checklist</w:t>
      </w:r>
    </w:p>
    <w:p>
      <w:pPr>
        <w:spacing w:after="120"/>
      </w:pPr>
      <w:r>
        <w:rPr>
          <w:rFonts w:ascii="Arial" w:cs="Arial" w:eastAsia="Arial" w:hAnsi="Arial"/>
          <w:color w:val="1a1917"/>
          <w:sz w:val="20"/>
          <w:szCs w:val="20"/>
        </w:rPr>
        <w:t xml:space="preserve">All items must be checked before handing values to the development team.</w:t>
      </w:r>
    </w:p>
    <w:p>
      <w:pPr>
        <w:spacing w:after="0" w:before="60"/>
      </w:pP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1</w:t>
      </w:r>
      <w:r>
        <w:rPr>
          <w:rFonts w:ascii="Arial" w:cs="Arial" w:eastAsia="Arial" w:hAnsi="Arial"/>
          <w:sz w:val="17"/>
          <w:szCs w:val="17"/>
        </w:rPr>
        <w:t xml:space="preserve">  </w:t>
      </w:r>
      <w:r>
        <w:rPr>
          <w:rFonts w:ascii="Arial" w:cs="Arial" w:eastAsia="Arial" w:hAnsi="Arial"/>
          <w:color w:val="1a1917"/>
          <w:sz w:val="18"/>
          <w:szCs w:val="18"/>
        </w:rPr>
        <w:t xml:space="preserve">PolicyHub app registration created</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1</w:t>
      </w:r>
      <w:r>
        <w:rPr>
          <w:rFonts w:ascii="Arial" w:cs="Arial" w:eastAsia="Arial" w:hAnsi="Arial"/>
          <w:sz w:val="17"/>
          <w:szCs w:val="17"/>
        </w:rPr>
        <w:t xml:space="preserve">  </w:t>
      </w:r>
      <w:r>
        <w:rPr>
          <w:rFonts w:ascii="Arial" w:cs="Arial" w:eastAsia="Arial" w:hAnsi="Arial"/>
          <w:color w:val="1a1917"/>
          <w:sz w:val="18"/>
          <w:szCs w:val="18"/>
        </w:rPr>
        <w:t xml:space="preserve">Supported account type set to "This organization only"</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1</w:t>
      </w:r>
      <w:r>
        <w:rPr>
          <w:rFonts w:ascii="Arial" w:cs="Arial" w:eastAsia="Arial" w:hAnsi="Arial"/>
          <w:sz w:val="17"/>
          <w:szCs w:val="17"/>
        </w:rPr>
        <w:t xml:space="preserve">  </w:t>
      </w:r>
      <w:r>
        <w:rPr>
          <w:rFonts w:ascii="Arial" w:cs="Arial" w:eastAsia="Arial" w:hAnsi="Arial"/>
          <w:color w:val="1a1917"/>
          <w:sz w:val="18"/>
          <w:szCs w:val="18"/>
        </w:rPr>
        <w:t xml:space="preserve">Application (client) ID noted</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2</w:t>
      </w:r>
      <w:r>
        <w:rPr>
          <w:rFonts w:ascii="Arial" w:cs="Arial" w:eastAsia="Arial" w:hAnsi="Arial"/>
          <w:sz w:val="17"/>
          <w:szCs w:val="17"/>
        </w:rPr>
        <w:t xml:space="preserve">  </w:t>
      </w:r>
      <w:r>
        <w:rPr>
          <w:rFonts w:ascii="Arial" w:cs="Arial" w:eastAsia="Arial" w:hAnsi="Arial"/>
          <w:color w:val="1a1917"/>
          <w:sz w:val="18"/>
          <w:szCs w:val="18"/>
        </w:rPr>
        <w:t xml:space="preserve">Redirect URIs added for local dev, staging, and production</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2</w:t>
      </w:r>
      <w:r>
        <w:rPr>
          <w:rFonts w:ascii="Arial" w:cs="Arial" w:eastAsia="Arial" w:hAnsi="Arial"/>
          <w:sz w:val="17"/>
          <w:szCs w:val="17"/>
        </w:rPr>
        <w:t xml:space="preserve">  </w:t>
      </w:r>
      <w:r>
        <w:rPr>
          <w:rFonts w:ascii="Arial" w:cs="Arial" w:eastAsia="Arial" w:hAnsi="Arial"/>
          <w:color w:val="1a1917"/>
          <w:sz w:val="18"/>
          <w:szCs w:val="18"/>
        </w:rPr>
        <w:t xml:space="preserve">Implicit grant checkboxes left unchecked</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3</w:t>
      </w:r>
      <w:r>
        <w:rPr>
          <w:rFonts w:ascii="Arial" w:cs="Arial" w:eastAsia="Arial" w:hAnsi="Arial"/>
          <w:sz w:val="17"/>
          <w:szCs w:val="17"/>
        </w:rPr>
        <w:t xml:space="preserve">  </w:t>
      </w:r>
      <w:r>
        <w:rPr>
          <w:rFonts w:ascii="Arial" w:cs="Arial" w:eastAsia="Arial" w:hAnsi="Arial"/>
          <w:color w:val="1a1917"/>
          <w:sz w:val="18"/>
          <w:szCs w:val="18"/>
        </w:rPr>
        <w:t xml:space="preserve">Client secret created with 12-month expiry</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3</w:t>
      </w:r>
      <w:r>
        <w:rPr>
          <w:rFonts w:ascii="Arial" w:cs="Arial" w:eastAsia="Arial" w:hAnsi="Arial"/>
          <w:sz w:val="17"/>
          <w:szCs w:val="17"/>
        </w:rPr>
        <w:t xml:space="preserve">  </w:t>
      </w:r>
      <w:r>
        <w:rPr>
          <w:rFonts w:ascii="Arial" w:cs="Arial" w:eastAsia="Arial" w:hAnsi="Arial"/>
          <w:color w:val="1a1917"/>
          <w:sz w:val="18"/>
          <w:szCs w:val="18"/>
        </w:rPr>
        <w:t xml:space="preserve">Secret value stored in password manager immediately</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3</w:t>
      </w:r>
      <w:r>
        <w:rPr>
          <w:rFonts w:ascii="Arial" w:cs="Arial" w:eastAsia="Arial" w:hAnsi="Arial"/>
          <w:sz w:val="17"/>
          <w:szCs w:val="17"/>
        </w:rPr>
        <w:t xml:space="preserve">  </w:t>
      </w:r>
      <w:r>
        <w:rPr>
          <w:rFonts w:ascii="Arial" w:cs="Arial" w:eastAsia="Arial" w:hAnsi="Arial"/>
          <w:color w:val="1a1917"/>
          <w:sz w:val="18"/>
          <w:szCs w:val="18"/>
        </w:rPr>
        <w:t xml:space="preserve">Calendar reminder set for rotation 2 weeks before expiry</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4</w:t>
      </w:r>
      <w:r>
        <w:rPr>
          <w:rFonts w:ascii="Arial" w:cs="Arial" w:eastAsia="Arial" w:hAnsi="Arial"/>
          <w:sz w:val="17"/>
          <w:szCs w:val="17"/>
        </w:rPr>
        <w:t xml:space="preserve">  </w:t>
      </w:r>
      <w:r>
        <w:rPr>
          <w:rFonts w:ascii="Arial" w:cs="Arial" w:eastAsia="Arial" w:hAnsi="Arial"/>
          <w:color w:val="1a1917"/>
          <w:sz w:val="18"/>
          <w:szCs w:val="18"/>
        </w:rPr>
        <w:t xml:space="preserve">Groups claim enabled: Security groups → ID token → Group ID</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5</w:t>
      </w:r>
      <w:r>
        <w:rPr>
          <w:rFonts w:ascii="Arial" w:cs="Arial" w:eastAsia="Arial" w:hAnsi="Arial"/>
          <w:sz w:val="17"/>
          <w:szCs w:val="17"/>
        </w:rPr>
        <w:t xml:space="preserve">  </w:t>
      </w:r>
      <w:r>
        <w:rPr>
          <w:rFonts w:ascii="Arial" w:cs="Arial" w:eastAsia="Arial" w:hAnsi="Arial"/>
          <w:color w:val="1a1917"/>
          <w:sz w:val="18"/>
          <w:szCs w:val="18"/>
        </w:rPr>
        <w:t xml:space="preserve">All claims verified present: sub, email, name, groups</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6</w:t>
      </w:r>
      <w:r>
        <w:rPr>
          <w:rFonts w:ascii="Arial" w:cs="Arial" w:eastAsia="Arial" w:hAnsi="Arial"/>
          <w:sz w:val="17"/>
          <w:szCs w:val="17"/>
        </w:rPr>
        <w:t xml:space="preserve">  </w:t>
      </w:r>
      <w:r>
        <w:rPr>
          <w:rFonts w:ascii="Arial" w:cs="Arial" w:eastAsia="Arial" w:hAnsi="Arial"/>
          <w:color w:val="1a1917"/>
          <w:sz w:val="18"/>
          <w:szCs w:val="18"/>
        </w:rPr>
        <w:t xml:space="preserve">Four permissions added and admin consent granted</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6</w:t>
      </w:r>
      <w:r>
        <w:rPr>
          <w:rFonts w:ascii="Arial" w:cs="Arial" w:eastAsia="Arial" w:hAnsi="Arial"/>
          <w:sz w:val="17"/>
          <w:szCs w:val="17"/>
        </w:rPr>
        <w:t xml:space="preserve">  </w:t>
      </w:r>
      <w:r>
        <w:rPr>
          <w:rFonts w:ascii="Arial" w:cs="Arial" w:eastAsia="Arial" w:hAnsi="Arial"/>
          <w:color w:val="1a1917"/>
          <w:sz w:val="18"/>
          <w:szCs w:val="18"/>
        </w:rPr>
        <w:t xml:space="preserve">All four permissions show green Granted status</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7</w:t>
      </w:r>
      <w:r>
        <w:rPr>
          <w:rFonts w:ascii="Arial" w:cs="Arial" w:eastAsia="Arial" w:hAnsi="Arial"/>
          <w:sz w:val="17"/>
          <w:szCs w:val="17"/>
        </w:rPr>
        <w:t xml:space="preserve">  </w:t>
      </w:r>
      <w:r>
        <w:rPr>
          <w:rFonts w:ascii="Arial" w:cs="Arial" w:eastAsia="Arial" w:hAnsi="Arial"/>
          <w:color w:val="1a1917"/>
          <w:sz w:val="18"/>
          <w:szCs w:val="18"/>
        </w:rPr>
        <w:t xml:space="preserve">IDP_ISSUER_URL constructed using tenant ID</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7</w:t>
      </w:r>
      <w:r>
        <w:rPr>
          <w:rFonts w:ascii="Arial" w:cs="Arial" w:eastAsia="Arial" w:hAnsi="Arial"/>
          <w:sz w:val="17"/>
          <w:szCs w:val="17"/>
        </w:rPr>
        <w:t xml:space="preserve">  </w:t>
      </w:r>
      <w:r>
        <w:rPr>
          <w:rFonts w:ascii="Arial" w:cs="Arial" w:eastAsia="Arial" w:hAnsi="Arial"/>
          <w:color w:val="1a1917"/>
          <w:sz w:val="18"/>
          <w:szCs w:val="18"/>
        </w:rPr>
        <w:t xml:space="preserve">All three values in shared password manager vault</w:t>
      </w:r>
    </w:p>
    <w:p>
      <w:pPr>
        <w:spacing w:after="80"/>
      </w:pPr>
      <w:r>
        <w:rPr>
          <w:rFonts w:ascii="Arial" w:cs="Arial" w:eastAsia="Arial" w:hAnsi="Arial"/>
          <w:sz w:val="18"/>
          <w:szCs w:val="18"/>
        </w:rPr>
        <w:t xml:space="preserve">  </w:t>
      </w:r>
      <w:r>
        <w:rPr>
          <w:rFonts w:ascii="Arial" w:cs="Arial" w:eastAsia="Arial" w:hAnsi="Arial"/>
          <w:b/>
          <w:bCs/>
          <w:color w:val="185FA5"/>
          <w:sz w:val="17"/>
          <w:szCs w:val="17"/>
        </w:rPr>
        <w:t xml:space="preserve">Step 7</w:t>
      </w:r>
      <w:r>
        <w:rPr>
          <w:rFonts w:ascii="Arial" w:cs="Arial" w:eastAsia="Arial" w:hAnsi="Arial"/>
          <w:sz w:val="17"/>
          <w:szCs w:val="17"/>
        </w:rPr>
        <w:t xml:space="preserve">  </w:t>
      </w:r>
      <w:r>
        <w:rPr>
          <w:rFonts w:ascii="Arial" w:cs="Arial" w:eastAsia="Arial" w:hAnsi="Arial"/>
          <w:color w:val="1a1917"/>
          <w:sz w:val="18"/>
          <w:szCs w:val="18"/>
        </w:rPr>
        <w:t xml:space="preserve">Development team notified</w:t>
      </w:r>
    </w:p>
    <w:p>
      <w:pPr>
        <w:spacing w:after="0" w:before="80"/>
      </w:pPr>
    </w:p>
    <w:p>
      <w:pPr>
        <w:pStyle w:val="Heading3"/>
        <w:spacing w:after="60" w:before="240"/>
      </w:pPr>
      <w:r>
        <w:rPr>
          <w:rFonts w:ascii="Arial" w:cs="Arial" w:eastAsia="Arial" w:hAnsi="Arial"/>
          <w:b/>
          <w:bCs/>
          <w:color w:val="185FA5"/>
          <w:sz w:val="22"/>
          <w:szCs w:val="22"/>
        </w:rPr>
        <w:t xml:space="preserve">Common error codes and fixes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Error</w:t>
            </w:r>
          </w:p>
        </w:tc>
        <w:tc>
          <w:tcPr>
            <w:tcW w:type="dxa" w:w="4513"/>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Fix</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AADSTS50011: redirect URI does not match</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IDP_CALLBACK_URL does not exactly match a URI from Step 2. Check scheme, port, and trailing slash.</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User has no roles after login</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Groups claim missing (Step 4) or group Object IDs not configured in PolicyHub Admin → IdP mappings.</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AADSTS700016: Application not found</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IDP_CLIENT_ID is wrong or from a different tenant. Verify client ID and tenant ID.</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AADSTS7000215: Invalid client secret</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Secret is wrong, expired, or the Secret ID was copied instead of the Value. Recreate.</w:t>
            </w:r>
          </w:p>
        </w:tc>
      </w:tr>
      <w:tr>
        <w:tc>
          <w:tcPr>
            <w:tcW w:type="dxa" w:w="4513"/>
            <w:tcBorders>
              <w:top w:val="single" w:color="E0DDD8" w:sz="1"/>
              <w:left w:val="single" w:color="E0DDD8" w:sz="1"/>
              <w:bottom w:val="single" w:color="E0DDD8" w:sz="1"/>
              <w:right w:val="single" w:color="E0DDD8" w:sz="1"/>
            </w:tcBorders>
            <w:shd w:fill="FCEBEB" w:val="clear"/>
            <w:tcMar>
              <w:top w:type="dxa" w:w="60"/>
              <w:left w:type="dxa" w:w="120"/>
              <w:bottom w:type="dxa" w:w="60"/>
              <w:right w:type="dxa" w:w="120"/>
            </w:tcMar>
          </w:tcPr>
          <w:p>
            <w:pPr>
              <w:spacing w:after="0"/>
            </w:pPr>
            <w:r>
              <w:rPr>
                <w:rFonts w:ascii="Courier New" w:cs="Courier New" w:eastAsia="Courier New" w:hAnsi="Courier New"/>
                <w:color w:val="A32D2D"/>
                <w:sz w:val="16"/>
                <w:szCs w:val="16"/>
              </w:rPr>
              <w:t xml:space="preserve">IDX10205: Issuer validation failed</w:t>
            </w:r>
          </w:p>
        </w:tc>
        <w:tc>
          <w:tcPr>
            <w:tcW w:type="dxa" w:w="4513"/>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7"/>
                <w:szCs w:val="17"/>
              </w:rPr>
              <w:t xml:space="preserve">IDP_ISSUER_URL tenant ID does not match the token issuer. Verify the tenant ID.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8" w:sz="1"/>
      </w:pBdr>
      <w:spacing w:after="0" w:before="80"/>
    </w:pPr>
    <w:r>
      <w:rPr>
        <w:rFonts w:ascii="Arial" w:cs="Arial" w:eastAsia="Arial" w:hAnsi="Arial"/>
        <w:color w:val="9e9d9a"/>
        <w:sz w:val="16"/>
        <w:szCs w:val="16"/>
      </w:rPr>
      <w:t xml:space="preserve">March 2026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8" w:sz="1"/>
      </w:pBdr>
      <w:tabs>
        <w:tab w:val="right" w:pos="9026"/>
      </w:tabs>
      <w:spacing w:after="0"/>
    </w:pPr>
    <w:r>
      <w:rPr>
        <w:rFonts w:ascii="Arial" w:cs="Arial" w:eastAsia="Arial" w:hAnsi="Arial"/>
        <w:color w:val="9e9d9a"/>
        <w:sz w:val="16"/>
        <w:szCs w:val="16"/>
      </w:rPr>
      <w:t xml:space="preserve">PolicyHub — Microsoft Entra ID Setup Guide</w:t>
    </w:r>
    <w:r>
      <w:rPr>
        <w:rFonts w:ascii="Arial" w:cs="Arial" w:eastAsia="Arial" w:hAnsi="Arial"/>
        <w:sz w:val="16"/>
        <w:szCs w:val="16"/>
      </w:rPr>
      <w:t xml:space="preserve">	</w:t>
    </w:r>
    <w:r>
      <w:rPr>
        <w:rFonts w:ascii="Arial" w:cs="Arial" w:eastAsia="Arial" w:hAnsi="Arial"/>
        <w:b/>
        <w:bCs/>
        <w:color w:val="9e9d9a"/>
        <w:sz w:val="16"/>
        <w:szCs w:val="16"/>
      </w:rPr>
      <w:t xml:space="preserve">FOR IT ADMINISTRATORS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E0DDD8" w:sz="1"/>
      </w:pBdr>
      <w:spacing w:after="80" w:before="280"/>
      <w:outlineLvl w:val="1"/>
    </w:pPr>
    <w:rPr>
      <w:rFonts w:ascii="Arial" w:cs="Arial" w:eastAsia="Arial" w:hAnsi="Arial"/>
      <w:b/>
      <w:bCs/>
      <w:color w:val="1a191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2026-03-18T20:24:18.221Z</dcterms:created>
  <dcterms:modified xsi:type="dcterms:W3CDTF">2026-03-18T20:24:18.222Z</dcterms:modified>
</cp:coreProperties>
</file>

<file path=docProps/custom.xml><?xml version="1.0" encoding="utf-8"?>
<Properties xmlns="http://schemas.openxmlformats.org/officeDocument/2006/custom-properties" xmlns:vt="http://schemas.openxmlformats.org/officeDocument/2006/docPropsVTypes"/>
</file>