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Codex Research Report</w:t>
      </w:r>
    </w:p>
    <w:p>
      <w:pPr>
        <w:spacing w:after="100"/>
      </w:pPr>
      <w:r>
        <w:rPr>
          <w:b/>
          <w:color w:val="1F9D8A"/>
          <w:sz w:val="18"/>
        </w:rPr>
        <w:t>Validated, de-identified capstone synthesis — DRAFT FOR HUMAN REVIEW</w:t>
      </w:r>
    </w:p>
    <w:p>
      <w:r>
        <w:rPr>
          <w:b/>
          <w:color w:val="B42318"/>
        </w:rPr>
        <w:t>REVIEW GATE: Do not use for a sleep-effect claim until a human verifies the source mapping and the device study is complete.</w:t>
      </w:r>
    </w:p>
    <w:p>
      <w:pPr>
        <w:pStyle w:val="Heading1"/>
        <w:keepNext/>
      </w:pPr>
      <w:r>
        <w:t>Executive finding</w:t>
      </w:r>
    </w:p>
    <w:p>
      <w:r>
        <w:t>Dream Sync is structured as a private research instrument, not a treatment product. It can collect quality-tagged sessions, record sham opportunities, deliver cues through a fail-closed protocol, and export traceable observations. Local verification supports software reliability only. It does not show deeper sleep or more lucid dreams.</w:t>
      </w:r>
    </w:p>
    <w:p>
      <w:pPr>
        <w:pStyle w:val="Heading1"/>
        <w:keepNext/>
      </w:pPr>
      <w:r>
        <w:t>Source mapping</w:t>
      </w:r>
    </w:p>
    <w:tbl>
      <w:tblPr>
        <w:tblStyle w:val="TableGrid"/>
        <w:tblW w:type="dxa" w:w="10134"/>
        <w:tblLayout w:type="fixed"/>
        <w:tblLook w:firstColumn="1" w:firstRow="1" w:lastColumn="0" w:lastRow="0" w:noHBand="0" w:noVBand="1" w:val="04A0"/>
        <w:tblInd w:type="dxa" w:w="90"/>
      </w:tblPr>
      <w:tblGrid>
        <w:gridCol w:w="1600"/>
        <w:gridCol w:w="3100"/>
        <w:gridCol w:w="2800"/>
        <w:gridCol w:w="2634"/>
      </w:tblGrid>
      <w:tr>
        <w:tc>
          <w:tcPr>
            <w:tcW w:type="dxa" w:w="1600"/>
            <w:shd w:fill="102A43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3100"/>
            <w:shd w:fill="102A43"/>
          </w:tcPr>
          <w:p>
            <w:r>
              <w:rPr>
                <w:b/>
                <w:color w:val="FFFFFF"/>
              </w:rPr>
              <w:t>Supported fact</w:t>
            </w:r>
          </w:p>
        </w:tc>
        <w:tc>
          <w:tcPr>
            <w:tcW w:type="dxa" w:w="2800"/>
            <w:shd w:fill="102A43"/>
          </w:tcPr>
          <w:p>
            <w:r>
              <w:rPr>
                <w:b/>
                <w:color w:val="FFFFFF"/>
              </w:rPr>
              <w:t>Project use</w:t>
            </w:r>
          </w:p>
        </w:tc>
        <w:tc>
          <w:tcPr>
            <w:tcW w:type="dxa" w:w="2634"/>
            <w:shd w:fill="102A43"/>
          </w:tcPr>
          <w:p>
            <w:r>
              <w:rPr>
                <w:b/>
                <w:color w:val="FFFFFF"/>
              </w:rPr>
              <w:t>Limit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Besedovsky 2017</w:t>
            </w:r>
          </w:p>
        </w:tc>
        <w:tc>
          <w:tcPr>
            <w:tcW w:type="dxa" w:w="31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Two 50 ms pink-noise tones, 1.075 s apart; EEG-triggered in consolidated NonREM; ACTIVE/SHAM crossover; n=14 healthy men.</w:t>
            </w:r>
          </w:p>
        </w:tc>
        <w:tc>
          <w:tcPr>
            <w:tcW w:type="dxa" w:w="28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Deep timing; sham design; conservative early-night eligibility.</w:t>
            </w:r>
          </w:p>
        </w:tc>
        <w:tc>
          <w:tcPr>
            <w:tcW w:type="dxa" w:w="263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No EEG. Timing preserved; phase locking absent.</w:t>
            </w:r>
          </w:p>
        </w:tc>
      </w:tr>
      <w:tr>
        <w:tc>
          <w:tcPr>
            <w:tcW w:type="dxa" w:w="16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Capstone details</w:t>
            </w:r>
          </w:p>
        </w:tc>
        <w:tc>
          <w:tcPr>
            <w:tcW w:type="dxa" w:w="31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One page; specific user/problem; numeric checks; Must/Won't; workflow; risk; human gate; three weeks.</w:t>
            </w:r>
          </w:p>
        </w:tc>
        <w:tc>
          <w:tcPr>
            <w:tcW w:type="dxa" w:w="2800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Proposal, matrix, timeline, report and review gate.</w:t>
            </w:r>
          </w:p>
        </w:tc>
        <w:tc>
          <w:tcPr>
            <w:tcW w:type="dxa" w:w="2634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Course guidance, not sleep evidence.</w:t>
            </w:r>
          </w:p>
        </w:tc>
      </w:tr>
      <w:tr>
        <w:tc>
          <w:tcPr>
            <w:tcW w:type="dxa" w:w="16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Android guidance</w:t>
            </w:r>
          </w:p>
        </w:tc>
        <w:tc>
          <w:tcPr>
            <w:tcW w:type="dxa" w:w="31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Persistent Data Items, transient Messages, capabilities, foreground-service limits.</w:t>
            </w:r>
          </w:p>
        </w:tc>
        <w:tc>
          <w:tcPr>
            <w:tcW w:type="dxa" w:w="280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Durable state/summary, direct live cue, user-started services.</w:t>
            </w:r>
          </w:p>
        </w:tc>
        <w:tc>
          <w:tcPr>
            <w:tcW w:type="dxa" w:w="263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Hardware/OS validation remains open.</w:t>
            </w:r>
          </w:p>
        </w:tc>
      </w:tr>
    </w:tbl>
    <w:p>
      <w:pPr>
        <w:pStyle w:val="Heading1"/>
        <w:keepNext/>
      </w:pPr>
      <w:r>
        <w:t>Implemented evidence</w:t>
      </w:r>
    </w:p>
    <w:p>
      <w:pPr>
        <w:pStyle w:val="ListBullet"/>
        <w:spacing w:after="24"/>
        <w:ind w:left="202" w:hanging="144"/>
      </w:pPr>
      <w:r>
        <w:t>Versioned, bound, expiring, deduplicated cue protocol with explicit lifecycle.</w:t>
      </w:r>
    </w:p>
    <w:p>
      <w:pPr>
        <w:pStyle w:val="ListBullet"/>
        <w:spacing w:after="24"/>
        <w:ind w:left="202" w:hanging="144"/>
      </w:pPr>
      <w:r>
        <w:t>Room on both devices for sessions, events, surveys, terminal results, and recovery.</w:t>
      </w:r>
    </w:p>
    <w:p>
      <w:pPr>
        <w:pStyle w:val="ListBullet"/>
        <w:spacing w:after="24"/>
        <w:ind w:left="202" w:hanging="144"/>
      </w:pPr>
      <w:r>
        <w:t>Speaker/audio checks, preloaded deterministic waveforms, calibration, completion verification.</w:t>
      </w:r>
    </w:p>
    <w:p>
      <w:pPr>
        <w:pStyle w:val="ListBullet"/>
        <w:spacing w:after="24"/>
        <w:ind w:left="202" w:hanging="144"/>
      </w:pPr>
      <w:r>
        <w:t>Signal quality, sleep-onset estimate, eligibility states, and heart-required lucid cues.</w:t>
      </w:r>
    </w:p>
    <w:p>
      <w:pPr>
        <w:pStyle w:val="ListBullet"/>
        <w:spacing w:after="24"/>
        <w:ind w:left="202" w:hanging="144"/>
      </w:pPr>
      <w:r>
        <w:t>Blinded ACTIVE/SHAM, conditioning, morning report, history/export/delete, replay fingerprint.</w:t>
      </w:r>
    </w:p>
    <w:p>
      <w:pPr>
        <w:pStyle w:val="Heading1"/>
        <w:keepNext/>
      </w:pPr>
      <w:r>
        <w:t>Failed and incomplete sessions</w:t>
      </w:r>
    </w:p>
    <w:p>
      <w:r>
        <w:t>No physical overnight session was run in this implementation pass, so there is no honest failed-night count. The app records stopped, timed out, phone lost, sensor degraded/failed, low battery, interrupted, and internal/storage failure. Hardware acceptance is PENDING, not PASS.</w:t>
      </w:r>
    </w:p>
    <w:p>
      <w:pPr>
        <w:pStyle w:val="Heading1"/>
        <w:keepNext/>
      </w:pPr>
      <w:r>
        <w:t>Limitations</w:t>
      </w:r>
    </w:p>
    <w:p>
      <w:pPr>
        <w:pStyle w:val="ListBullet"/>
        <w:spacing w:after="24"/>
        <w:ind w:left="202" w:hanging="144"/>
      </w:pPr>
      <w:r>
        <w:t>Motion and optical heart rate cannot identify EEG phase or clinically score sleep.</w:t>
      </w:r>
    </w:p>
    <w:p>
      <w:pPr>
        <w:pStyle w:val="ListBullet"/>
        <w:spacing w:after="24"/>
        <w:ind w:left="202" w:hanging="144"/>
      </w:pPr>
      <w:r>
        <w:t>The source study was a small lab sample of healthy young men with EEG and in-ear tones; home speaker delivery differs.</w:t>
      </w:r>
    </w:p>
    <w:p>
      <w:pPr>
        <w:pStyle w:val="ListBullet"/>
        <w:spacing w:after="24"/>
        <w:ind w:left="202" w:hanging="144"/>
      </w:pPr>
      <w:r>
        <w:t>The lucid feature is exploratory and not directly validated by the supplied deep-sleep paper.</w:t>
      </w:r>
    </w:p>
    <w:p>
      <w:pPr>
        <w:pStyle w:val="ListBullet"/>
        <w:spacing w:after="24"/>
        <w:ind w:left="202" w:hanging="144"/>
      </w:pPr>
      <w:r>
        <w:t>Debug APKs/tests do not establish efficacy, long-term safety, battery behavior, or public readiness.</w:t>
      </w:r>
    </w:p>
    <w:p>
      <w:pPr>
        <w:pStyle w:val="ListBullet"/>
        <w:spacing w:after="24"/>
        <w:ind w:left="202" w:hanging="144"/>
      </w:pPr>
      <w:r>
        <w:t>Codex can summarize de-identified exports, not validate sensor truth or replace review.</w:t>
      </w:r>
    </w:p>
    <w:p>
      <w:pPr>
        <w:pStyle w:val="Heading1"/>
        <w:keepNext/>
      </w:pPr>
      <w:r>
        <w:t>Recommended next experiment</w:t>
      </w:r>
    </w:p>
    <w:tbl>
      <w:tblPr>
        <w:tblW w:type="dxa" w:w="10134"/>
        <w:jc w:val="center"/>
        <w:tblLayout w:type="fixed"/>
        <w:tblLook w:firstColumn="1" w:firstRow="1" w:lastColumn="0" w:lastRow="0" w:noHBand="0" w:noVBand="1" w:val="04A0"/>
        <w:tblInd w:type="dxa" w:w="90"/>
      </w:tblPr>
      <w:tblGrid>
        <w:gridCol w:w="2229"/>
        <w:gridCol w:w="7905"/>
      </w:tblGrid>
      <w:tr>
        <w:tc>
          <w:tcPr>
            <w:tcW w:type="dxa" w:w="2229"/>
            <w:shd w:fill="167DA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7905"/>
            <w:shd w:fill="EAF3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Do ACTIVE and SHAM nights differ in restedness, awakenings, cue awareness, recall, lucid result, or adverse effects?</w:t>
            </w:r>
          </w:p>
        </w:tc>
      </w:tr>
      <w:tr>
        <w:tc>
          <w:tcPr>
            <w:tcW w:type="dxa" w:w="2229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DESIGN</w:t>
            </w:r>
          </w:p>
        </w:tc>
        <w:tc>
          <w:tcPr>
            <w:tcW w:type="dxa" w:w="7905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12–20 nights after three accelerated runs: sensor-only baseline, then blinded randomized ACTIVE/SHAM; reveal after survey.</w:t>
            </w:r>
          </w:p>
        </w:tc>
      </w:tr>
      <w:tr>
        <w:tc>
          <w:tcPr>
            <w:tcW w:type="dxa" w:w="2229"/>
            <w:shd w:fill="167DA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PRIMARY DATA</w:t>
            </w:r>
          </w:p>
        </w:tc>
        <w:tc>
          <w:tcPr>
            <w:tcW w:type="dxa" w:w="7905"/>
            <w:shd w:fill="EAF3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Usable-session rate, cue lifecycle, signal coverage, awakenings, restedness, adverse effects. Lucidity exploratory.</w:t>
            </w:r>
          </w:p>
        </w:tc>
      </w:tr>
      <w:tr>
        <w:tc>
          <w:tcPr>
            <w:tcW w:type="dxa" w:w="2229"/>
            <w:shd w:fill="102A4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STOP RULES</w:t>
            </w:r>
          </w:p>
        </w:tc>
        <w:tc>
          <w:tcPr>
            <w:tcW w:type="dxa" w:w="7905"/>
            <w:shd w:fill="F5F8F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Disable cues on phone/sensor/storage/battery/audio failure or repeated cue-linked arousal; stop study for meaningful adverse effects.</w:t>
            </w:r>
          </w:p>
        </w:tc>
      </w:tr>
      <w:tr>
        <w:tc>
          <w:tcPr>
            <w:tcW w:type="dxa" w:w="2229"/>
            <w:shd w:fill="167DA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</w:rPr>
              <w:t>ANALYSIS</w:t>
            </w:r>
          </w:p>
        </w:tc>
        <w:tc>
          <w:tcPr>
            <w:tcW w:type="dxa" w:w="7905"/>
            <w:shd w:fill="EAF3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Paired descriptive differences with every failed/excluded session. No causal or medical claims.</w:t>
            </w:r>
          </w:p>
        </w:tc>
      </w:tr>
    </w:tbl>
    <w:p>
      <w:pPr>
        <w:pStyle w:val="Heading1"/>
        <w:keepNext/>
      </w:pPr>
      <w:r>
        <w:t>Human review checklist</w:t>
      </w:r>
    </w:p>
    <w:p>
      <w:pPr>
        <w:pStyle w:val="ListBullet"/>
        <w:spacing w:after="24"/>
        <w:ind w:left="202" w:hanging="144"/>
      </w:pPr>
      <w:r>
        <w:t>Verify source statements against DOI 10.1038/s41467-017-02170-3.</w:t>
      </w:r>
    </w:p>
    <w:p>
      <w:pPr>
        <w:pStyle w:val="ListBullet"/>
        <w:spacing w:after="24"/>
        <w:ind w:left="202" w:hanging="144"/>
      </w:pPr>
      <w:r>
        <w:t>Confirm exports are de-identified before Codex use.</w:t>
      </w:r>
    </w:p>
    <w:p>
      <w:pPr>
        <w:pStyle w:val="ListBullet"/>
        <w:spacing w:after="24"/>
        <w:ind w:left="202" w:hanging="144"/>
      </w:pPr>
      <w:r>
        <w:t>Attach hardware results and failed-session reasons.</w:t>
      </w:r>
    </w:p>
    <w:p>
      <w:pPr>
        <w:pStyle w:val="ListBullet"/>
        <w:spacing w:after="24"/>
        <w:ind w:left="202" w:hanging="144"/>
      </w:pPr>
      <w:r>
        <w:t>Approve/reject each conclusion; sign and date.</w:t>
      </w:r>
    </w:p>
    <w:p>
      <w:r>
        <w:t>Reviewer: ____________________   Decision: ☐ Approved  ☐ Revise   Date: ____________</w:t>
      </w:r>
    </w:p>
    <w:p>
      <w:pPr>
        <w:pStyle w:val="Heading1"/>
        <w:keepNext/>
      </w:pPr>
      <w:r>
        <w:t>References</w:t>
      </w:r>
    </w:p>
    <w:p>
      <w:pPr>
        <w:pStyle w:val="ListBullet"/>
        <w:spacing w:after="24"/>
        <w:ind w:left="202" w:hanging="144"/>
      </w:pPr>
      <w:r>
        <w:t>Besedovsky L, Ngo H-VV, Dimitrov S, et al. Nature Communications. 2017;8:1984. doi:10.1038/s41467-017-02170-3.</w:t>
      </w:r>
    </w:p>
    <w:p>
      <w:pPr>
        <w:pStyle w:val="ListBullet"/>
        <w:spacing w:after="24"/>
        <w:ind w:left="202" w:hanging="144"/>
      </w:pPr>
      <w:r>
        <w:t>Android Developers: Wear Data Layer client types; Discover devices; Foreground-service launch restrictions. Accessed 18 July 2026.</w:t>
      </w:r>
    </w:p>
    <w:p>
      <w:pPr>
        <w:pStyle w:val="ListBullet"/>
        <w:spacing w:after="24"/>
        <w:ind w:left="202" w:hanging="144"/>
      </w:pPr>
      <w:r>
        <w:t>Dream Sync local research, capstone, code, schemas, and test outputs.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4"/>
      </w:rPr>
      <w:t>Experimental • Non-medical • Human review required • 18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DAD"/>
        <w:sz w:val="14"/>
      </w:rPr>
      <w:t>DREAM SYNC  /  PRIVATE CAPSTONE RESEARCH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02A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A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Dream Sync Codex Research Report</dc:title>
  <dc:subject/>
  <dc:creator>Dream Sync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