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 Sync</w:t>
      </w:r>
    </w:p>
    <w:p>
      <w:pPr>
        <w:spacing w:after="100"/>
      </w:pPr>
      <w:r>
        <w:rPr>
          <w:b/>
          <w:color w:val="1F9D8A"/>
          <w:sz w:val="18"/>
        </w:rPr>
        <w:t>A private, safety-gated phone + watch experiment for conservative overnight audio cueing</w:t>
      </w:r>
    </w:p>
    <w:p>
      <w:pPr>
        <w:spacing w:after="80"/>
      </w:pPr>
      <w:r>
        <w:rPr>
          <w:b/>
          <w:color w:val="167DAD"/>
        </w:rPr>
        <w:t xml:space="preserve">VALUE  </w:t>
      </w:r>
      <w:r>
        <w:t>Turn a lab-inspired cue concept into a reproducible proof that logs what happened, fails safely, and makes no sleep-effect claim before evidence exists.</w:t>
      </w:r>
    </w:p>
    <w:tbl>
      <w:tblPr>
        <w:tblW w:type="dxa" w:w="10485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495"/>
        <w:gridCol w:w="3495"/>
        <w:gridCol w:w="3495"/>
      </w:tblGrid>
      <w:tr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PROBLEM</w:t>
            </w:r>
          </w:p>
          <w:p>
            <w:pPr>
              <w:spacing w:after="20"/>
            </w:pPr>
            <w:r>
              <w:rPr>
                <w:sz w:val="15"/>
              </w:rPr>
              <w:t>Consumer wearables lack EEG timing. Naive cueing can wake the user, mislabel sleep, or create claims the data cannot support.</w:t>
            </w:r>
          </w:p>
        </w:tc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USER</w:t>
            </w:r>
          </w:p>
          <w:p>
            <w:pPr>
              <w:spacing w:after="20"/>
            </w:pPr>
            <w:r>
              <w:rPr>
                <w:sz w:val="15"/>
              </w:rPr>
              <w:t>Nathan using an S23+ and Galaxy Watch Ultra at home. Today there is no synchronized, inspectable private protocol.</w:t>
            </w:r>
          </w:p>
        </w:tc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RISKIEST ASSUMPTION</w:t>
            </w:r>
          </w:p>
          <w:p>
            <w:pPr>
              <w:spacing w:after="20"/>
            </w:pPr>
            <w:r>
              <w:rPr>
                <w:sz w:val="15"/>
              </w:rPr>
              <w:t>Motion + heart-rate quality gates can find conservative cue-eligible windows without unsafe repeat playback.</w:t>
            </w:r>
          </w:p>
        </w:tc>
      </w:tr>
    </w:tbl>
    <w:p>
      <w:pPr>
        <w:pStyle w:val="Heading2"/>
        <w:keepNext/>
      </w:pPr>
      <w:r>
        <w:t>Workflow</w:t>
      </w:r>
    </w:p>
    <w:tbl>
      <w:tblPr>
        <w:tblW w:type="dxa" w:w="1048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306"/>
        <w:gridCol w:w="8174"/>
      </w:tblGrid>
      <w:tr>
        <w:tc>
          <w:tcPr>
            <w:tcW w:type="dxa" w:w="2306"/>
            <w:shd w:fill="167DA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8174"/>
            <w:shd w:fill="EAF3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Motion + heart rate, calibrated phone audio, configuration, blinded ACTIVE/SHAM assignment.</w:t>
            </w:r>
          </w:p>
        </w:tc>
      </w:tr>
      <w:tr>
        <w:tc>
          <w:tcPr>
            <w:tcW w:type="dxa" w:w="2306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LOCAL</w:t>
            </w:r>
          </w:p>
        </w:tc>
        <w:tc>
          <w:tcPr>
            <w:tcW w:type="dxa" w:w="817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Quality checks → estimated sleep onset → NREM-eligible / REM-like eligible → cue policy.</w:t>
            </w:r>
          </w:p>
        </w:tc>
      </w:tr>
      <w:tr>
        <w:tc>
          <w:tcPr>
            <w:tcW w:type="dxa" w:w="2306"/>
            <w:shd w:fill="167DA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DELIVERY</w:t>
            </w:r>
          </w:p>
        </w:tc>
        <w:tc>
          <w:tcPr>
            <w:tcW w:type="dxa" w:w="8174"/>
            <w:shd w:fill="EAF3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One bound pair; expiring cue; requested → accepted → audio started → completed/failed.</w:t>
            </w:r>
          </w:p>
        </w:tc>
      </w:tr>
      <w:tr>
        <w:tc>
          <w:tcPr>
            <w:tcW w:type="dxa" w:w="2306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REVIEW</w:t>
            </w:r>
          </w:p>
        </w:tc>
        <w:tc>
          <w:tcPr>
            <w:tcW w:type="dxa" w:w="817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Survey + export → de-identified Codex summary → source/limits check → human approval.</w:t>
            </w:r>
          </w:p>
        </w:tc>
      </w:tr>
    </w:tbl>
    <w:p>
      <w:pPr>
        <w:pStyle w:val="Heading2"/>
        <w:keepNext/>
      </w:pPr>
      <w:r>
        <w:t>Success metrics</w:t>
      </w:r>
    </w:p>
    <w:tbl>
      <w:tblPr>
        <w:tblW w:type="dxa" w:w="10485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495"/>
        <w:gridCol w:w="3495"/>
        <w:gridCol w:w="3495"/>
      </w:tblGrid>
      <w:tr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RELIABILITY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3/3 accelerated device runs recover a summary.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One valid cue: at most one playback. Invalid: none.</w:t>
            </w:r>
          </w:p>
        </w:tc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RESEARCH READINESS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Plan 12–20 usable sensor-only, ACTIVE, and SHAM nights.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Every usable night has quality, lifecycle, terminal state, survey.</w:t>
            </w:r>
          </w:p>
        </w:tc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CLAIM GATE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Baseline not measured yet.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No sleep-effect claim before trial + human review.</w:t>
            </w:r>
          </w:p>
        </w:tc>
      </w:tr>
    </w:tbl>
    <w:p>
      <w:pPr>
        <w:pStyle w:val="Heading2"/>
        <w:keepNext/>
      </w:pPr>
      <w:r>
        <w:t>Scope fence</w:t>
      </w:r>
    </w:p>
    <w:tbl>
      <w:tblPr>
        <w:tblW w:type="dxa" w:w="10485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495"/>
        <w:gridCol w:w="3495"/>
        <w:gridCol w:w="3495"/>
      </w:tblGrid>
      <w:tr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MUST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Private APKs; readiness/start/stop; Room; blind trial; export/replay; tests.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Visible failure reasons; non-medical language.</w:t>
            </w:r>
          </w:p>
        </w:tc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WON'T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Play launch, production signing, Samsung SDK, EEG phase locking, cloud.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Guaranteed lucid dreams or medical claims.</w:t>
            </w:r>
          </w:p>
        </w:tc>
        <w:tc>
          <w:tcPr>
            <w:tcW w:type="dxa" w:w="3495"/>
            <w:shd w:fill="EAF3F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b/>
                <w:color w:val="167DAD"/>
                <w:sz w:val="15"/>
              </w:rPr>
              <w:t>RISK → CONTROL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Wrong stage → eligibility labels.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Duplicate/stale → fail closed.</w:t>
            </w:r>
          </w:p>
          <w:p>
            <w:pPr>
              <w:pStyle w:val="ListBullet"/>
              <w:spacing w:after="24"/>
              <w:ind w:left="202" w:hanging="144"/>
            </w:pPr>
            <w:r>
              <w:rPr>
                <w:sz w:val="14"/>
              </w:rPr>
              <w:t>Audio/sensor loss → logging only + reason.</w:t>
            </w:r>
          </w:p>
        </w:tc>
      </w:tr>
    </w:tbl>
    <w:p>
      <w:pPr>
        <w:pStyle w:val="Heading2"/>
        <w:keepNext/>
      </w:pPr>
      <w:r>
        <w:t>Three-week finish line</w:t>
      </w:r>
    </w:p>
    <w:p>
      <w:pPr>
        <w:spacing w:after="40"/>
      </w:pPr>
      <w:r>
        <w:rPr>
          <w:b/>
        </w:rPr>
        <w:t xml:space="preserve">W1 </w:t>
      </w:r>
      <w:r>
        <w:t xml:space="preserve">protocol, persistence, unit tests  |  </w:t>
      </w:r>
      <w:r>
        <w:rPr>
          <w:b/>
        </w:rPr>
        <w:t xml:space="preserve">W2 </w:t>
      </w:r>
      <w:r>
        <w:t xml:space="preserve">audio/quality gates, sham, survey, export  |  </w:t>
      </w:r>
      <w:r>
        <w:rPr>
          <w:b/>
        </w:rPr>
        <w:t xml:space="preserve">W3 </w:t>
      </w:r>
      <w:r>
        <w:t>hardware runs, replay, report, capstone package</w:t>
      </w:r>
    </w:p>
    <w:tbl>
      <w:tblPr>
        <w:tblW w:type="dxa" w:w="10500"/>
        <w:tblLayout w:type="fixed"/>
        <w:tblLook w:firstColumn="1" w:firstRow="1" w:lastColumn="0" w:lastRow="0" w:noHBand="0" w:noVBand="1" w:val="04A0"/>
        <w:tblInd w:type="dxa" w:w="70"/>
      </w:tblPr>
      <w:tblGrid>
        <w:gridCol w:w="10500"/>
      </w:tblGrid>
      <w:tr>
        <w:tc>
          <w:tcPr>
            <w:tcW w:type="dxa" w:w="1050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FFFFFF"/>
                <w:sz w:val="14"/>
              </w:rPr>
              <w:t>RESEARCH BASIS  Besedovsky et al. (2017), DOI 10.1038/s41467-017-02170-3: paired 50 ms pink-noise tones, 1.075 s apart, EEG phase-locked in a 14-man lab crossover. Dream Sync preserves timing only; it does not reproduce EEG phase locking.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4"/>
      </w:rPr>
      <w:t>Experimental • Non-medical • Human review required • 18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DAD"/>
        <w:sz w:val="14"/>
      </w:rPr>
      <w:t>DREAM SYNC  /  PRIVATE CAPSTONE RESEARCH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/>
    </w:pPr>
    <w:rPr>
      <w:rFonts w:ascii="Aptos" w:hAnsi="Aptos"/>
      <w:color w:val="102A4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7D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A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 Sync One-Page Proposal</dc:title>
  <dc:subject/>
  <dc:creator>Dream Sync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