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E2247"/>
          <w:sz w:val="48"/>
        </w:rPr>
        <w:t>DreamSync Codex Research Report 1.1</w:t>
      </w:r>
    </w:p>
    <w:p>
      <w:pPr>
        <w:spacing w:after="240"/>
      </w:pPr>
      <w:r>
        <w:rPr>
          <w:rFonts w:ascii="Calibri" w:hAnsi="Calibri"/>
          <w:b w:val="0"/>
          <w:i w:val="0"/>
          <w:color w:val="5F6673"/>
          <w:sz w:val="24"/>
        </w:rPr>
        <w:t>Validated, de-identified software synthesis - draft for human review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EF0FF"/>
            <w:tcMar>
              <w:top w:w="80" w:type="dxa"/>
              <w:start w:w="120" w:type="dxa"/>
              <w:bottom w:w="80" w:type="dxa"/>
              <w:end w:w="120" w:type="dxa"/>
            </w:tcMar>
            <w:vAlign w:val="center"/>
          </w:tcPr>
          <w:p>
            <w:r>
              <w:rPr>
                <w:rFonts w:ascii="Calibri" w:hAnsi="Calibri"/>
                <w:b/>
                <w:i w:val="0"/>
                <w:color w:val="1E2247"/>
                <w:sz w:val="21"/>
              </w:rPr>
              <w:t xml:space="preserve">HUMAN REVIEW GATE. </w:t>
            </w:r>
            <w:r>
              <w:rPr>
                <w:rFonts w:ascii="Calibri" w:hAnsi="Calibri"/>
                <w:b w:val="0"/>
                <w:i w:val="0"/>
                <w:color w:val="1D2230"/>
                <w:sz w:val="21"/>
              </w:rPr>
              <w:t>Do not use this report for a sleep-effect, stage-accuracy, safety, ownership, or public-production claim until the named external evidence is attached and reviewed.</w:t>
            </w:r>
          </w:p>
        </w:tc>
      </w:tr>
    </w:tbl>
    <w:p>
      <w:pPr>
        <w:pStyle w:val="Heading1"/>
      </w:pPr>
      <w:r>
        <w:t>Executive finding</w:t>
      </w:r>
    </w:p>
    <w:p>
      <w:r>
        <w:t>DreamSync 1.1 is a local Android/Wear OS wellness system designed to protect sleep continuity. It requires one visible nightly Arm action, estimates likely sleep onset from sustained low motion and fresh cardiac data, and remains quiet whenever identity, signal, audio, battery, storage, connection, or arousal checks fail. The software can create traceable observations. It cannot prove that a user slept deeper, stayed asleep longer, entered a specific EEG stage, or had a lucid dream.</w:t>
      </w:r>
    </w:p>
    <w:p>
      <w:pPr>
        <w:pStyle w:val="Heading1"/>
      </w:pPr>
      <w:r>
        <w:t>What the supplied research supports</w:t>
      </w:r>
    </w:p>
    <w:tbl>
      <w:tblPr>
        <w:tblStyle w:val="TableGrid"/>
        <w:tblW w:type="dxa" w:w="9360"/>
        <w:jc w:val="left"/>
        <w:tblLayout w:type="fixed"/>
        <w:tblLook w:firstColumn="1" w:firstRow="1" w:lastColumn="0" w:lastRow="0" w:noHBand="0" w:noVBand="1" w:val="04A0"/>
        <w:tblInd w:w="120" w:type="dxa"/>
      </w:tblPr>
      <w:tblGrid>
        <w:gridCol w:w="1944"/>
        <w:gridCol w:w="3456"/>
        <w:gridCol w:w="3960"/>
      </w:tblGrid>
      <w:tr>
        <w:trPr>
          <w:tblHeader w:val="true"/>
        </w:trPr>
        <w:tc>
          <w:tcPr>
            <w:tcW w:type="dxa" w:w="1944"/>
            <w:shd w:fill="1E2247"/>
            <w:tcMar>
              <w:top w:w="80" w:type="dxa"/>
              <w:start w:w="120" w:type="dxa"/>
              <w:bottom w:w="80" w:type="dxa"/>
              <w:end w:w="120" w:type="dxa"/>
            </w:tcMar>
            <w:vAlign w:val="center"/>
          </w:tcPr>
          <w:p>
            <w:r>
              <w:rPr>
                <w:rFonts w:ascii="Calibri" w:hAnsi="Calibri"/>
                <w:b/>
                <w:i w:val="0"/>
                <w:color w:val="FFFFFF"/>
                <w:sz w:val="18"/>
              </w:rPr>
              <w:t>Source</w:t>
            </w:r>
          </w:p>
        </w:tc>
        <w:tc>
          <w:tcPr>
            <w:tcW w:type="dxa" w:w="3456"/>
            <w:shd w:fill="1E2247"/>
            <w:tcMar>
              <w:top w:w="80" w:type="dxa"/>
              <w:start w:w="120" w:type="dxa"/>
              <w:bottom w:w="80" w:type="dxa"/>
              <w:end w:w="120" w:type="dxa"/>
            </w:tcMar>
            <w:vAlign w:val="center"/>
          </w:tcPr>
          <w:p>
            <w:r>
              <w:rPr>
                <w:rFonts w:ascii="Calibri" w:hAnsi="Calibri"/>
                <w:b/>
                <w:i w:val="0"/>
                <w:color w:val="FFFFFF"/>
                <w:sz w:val="18"/>
              </w:rPr>
              <w:t>Supported fact</w:t>
            </w:r>
          </w:p>
        </w:tc>
        <w:tc>
          <w:tcPr>
            <w:tcW w:type="dxa" w:w="3960"/>
            <w:shd w:fill="1E2247"/>
            <w:tcMar>
              <w:top w:w="80" w:type="dxa"/>
              <w:start w:w="120" w:type="dxa"/>
              <w:bottom w:w="80" w:type="dxa"/>
              <w:end w:w="120" w:type="dxa"/>
            </w:tcMar>
            <w:vAlign w:val="center"/>
          </w:tcPr>
          <w:p>
            <w:r>
              <w:rPr>
                <w:rFonts w:ascii="Calibri" w:hAnsi="Calibri"/>
                <w:b/>
                <w:i w:val="0"/>
                <w:color w:val="FFFFFF"/>
                <w:sz w:val="18"/>
              </w:rPr>
              <w:t>DreamSync use and limit</w:t>
            </w:r>
          </w:p>
        </w:tc>
      </w:tr>
      <w:tr>
        <w:tc>
          <w:tcPr>
            <w:tcW w:type="dxa" w:w="1944"/>
            <w:shd w:fill="F5F6FA"/>
            <w:tcMar>
              <w:top w:w="80" w:type="dxa"/>
              <w:start w:w="120" w:type="dxa"/>
              <w:bottom w:w="80" w:type="dxa"/>
              <w:end w:w="120" w:type="dxa"/>
            </w:tcMar>
            <w:vAlign w:val="center"/>
          </w:tcPr>
          <w:p>
            <w:r>
              <w:rPr>
                <w:rFonts w:ascii="Calibri" w:hAnsi="Calibri"/>
                <w:b/>
                <w:i w:val="0"/>
                <w:color w:val="1D2230"/>
                <w:sz w:val="17"/>
              </w:rPr>
              <w:t>Besedovsky et al. 2017</w:t>
            </w:r>
          </w:p>
        </w:tc>
        <w:tc>
          <w:tcPr>
            <w:tcW w:type="dxa" w:w="3456"/>
            <w:shd w:fill="F5F6FA"/>
            <w:tcMar>
              <w:top w:w="80" w:type="dxa"/>
              <w:start w:w="120" w:type="dxa"/>
              <w:bottom w:w="80" w:type="dxa"/>
              <w:end w:w="120" w:type="dxa"/>
            </w:tcMar>
            <w:vAlign w:val="center"/>
          </w:tcPr>
          <w:p>
            <w:r>
              <w:rPr>
                <w:rFonts w:ascii="Calibri" w:hAnsi="Calibri"/>
                <w:b w:val="0"/>
                <w:i w:val="0"/>
                <w:color w:val="1D2230"/>
                <w:sz w:val="17"/>
              </w:rPr>
              <w:t>Two 50 ms pink-noise bursts 1.075 seconds apart were used during EEG-confirmed consolidated non-REM sleep in a small laboratory sample.</w:t>
            </w:r>
          </w:p>
        </w:tc>
        <w:tc>
          <w:tcPr>
            <w:tcW w:type="dxa" w:w="3960"/>
            <w:shd w:fill="F5F6FA"/>
            <w:tcMar>
              <w:top w:w="80" w:type="dxa"/>
              <w:start w:w="120" w:type="dxa"/>
              <w:bottom w:w="80" w:type="dxa"/>
              <w:end w:w="120" w:type="dxa"/>
            </w:tcMar>
            <w:vAlign w:val="center"/>
          </w:tcPr>
          <w:p>
            <w:r>
              <w:rPr>
                <w:rFonts w:ascii="Calibri" w:hAnsi="Calibri"/>
                <w:b w:val="0"/>
                <w:i w:val="0"/>
                <w:color w:val="1D2230"/>
                <w:sz w:val="17"/>
              </w:rPr>
              <w:t>DreamSync preserves the pair shape and timing but not EEG phase locking. It uses this as a waveform design source, not an efficacy claim.</w:t>
            </w:r>
          </w:p>
        </w:tc>
      </w:tr>
      <w:tr>
        <w:tc>
          <w:tcPr>
            <w:tcW w:type="dxa" w:w="1944"/>
            <w:tcMar>
              <w:top w:w="80" w:type="dxa"/>
              <w:start w:w="120" w:type="dxa"/>
              <w:bottom w:w="80" w:type="dxa"/>
              <w:end w:w="120" w:type="dxa"/>
            </w:tcMar>
            <w:vAlign w:val="center"/>
          </w:tcPr>
          <w:p>
            <w:r>
              <w:rPr>
                <w:rFonts w:ascii="Calibri" w:hAnsi="Calibri"/>
                <w:b/>
                <w:i w:val="0"/>
                <w:color w:val="1D2230"/>
                <w:sz w:val="17"/>
              </w:rPr>
              <w:t>Ngo et al. 2013</w:t>
            </w:r>
          </w:p>
        </w:tc>
        <w:tc>
          <w:tcPr>
            <w:tcW w:type="dxa" w:w="3456"/>
            <w:tcMar>
              <w:top w:w="80" w:type="dxa"/>
              <w:start w:w="120" w:type="dxa"/>
              <w:bottom w:w="80" w:type="dxa"/>
              <w:end w:w="120" w:type="dxa"/>
            </w:tcMar>
            <w:vAlign w:val="center"/>
          </w:tcPr>
          <w:p>
            <w:r>
              <w:rPr>
                <w:rFonts w:ascii="Calibri" w:hAnsi="Calibri"/>
                <w:b w:val="0"/>
                <w:i w:val="0"/>
                <w:color w:val="1D2230"/>
                <w:sz w:val="17"/>
              </w:rPr>
              <w:t>Closed-loop acoustic stimulation timed to slow-oscillation up-states changed slow-wave activity and supported overnight memory in a laboratory setting.</w:t>
            </w:r>
          </w:p>
        </w:tc>
        <w:tc>
          <w:tcPr>
            <w:tcW w:type="dxa" w:w="3960"/>
            <w:tcMar>
              <w:top w:w="80" w:type="dxa"/>
              <w:start w:w="120" w:type="dxa"/>
              <w:bottom w:w="80" w:type="dxa"/>
              <w:end w:w="120" w:type="dxa"/>
            </w:tcMar>
            <w:vAlign w:val="center"/>
          </w:tcPr>
          <w:p>
            <w:r>
              <w:rPr>
                <w:rFonts w:ascii="Calibri" w:hAnsi="Calibri"/>
                <w:b w:val="0"/>
                <w:i w:val="0"/>
                <w:color w:val="1D2230"/>
                <w:sz w:val="17"/>
              </w:rPr>
              <w:t>DreamSync cannot observe the slow-oscillation phase; conservative wrist eligibility can only decide when not to cue.</w:t>
            </w:r>
          </w:p>
        </w:tc>
      </w:tr>
      <w:tr>
        <w:tc>
          <w:tcPr>
            <w:tcW w:type="dxa" w:w="1944"/>
            <w:shd w:fill="F5F6FA"/>
            <w:tcMar>
              <w:top w:w="80" w:type="dxa"/>
              <w:start w:w="120" w:type="dxa"/>
              <w:bottom w:w="80" w:type="dxa"/>
              <w:end w:w="120" w:type="dxa"/>
            </w:tcMar>
            <w:vAlign w:val="center"/>
          </w:tcPr>
          <w:p>
            <w:r>
              <w:rPr>
                <w:rFonts w:ascii="Calibri" w:hAnsi="Calibri"/>
                <w:b/>
                <w:i w:val="0"/>
                <w:color w:val="1D2230"/>
                <w:sz w:val="17"/>
              </w:rPr>
              <w:t>Weigenand et al. 2016</w:t>
            </w:r>
          </w:p>
        </w:tc>
        <w:tc>
          <w:tcPr>
            <w:tcW w:type="dxa" w:w="3456"/>
            <w:shd w:fill="F5F6FA"/>
            <w:tcMar>
              <w:top w:w="80" w:type="dxa"/>
              <w:start w:w="120" w:type="dxa"/>
              <w:bottom w:w="80" w:type="dxa"/>
              <w:end w:w="120" w:type="dxa"/>
            </w:tcMar>
            <w:vAlign w:val="center"/>
          </w:tcPr>
          <w:p>
            <w:r>
              <w:rPr>
                <w:rFonts w:ascii="Calibri" w:hAnsi="Calibri"/>
                <w:b w:val="0"/>
                <w:i w:val="0"/>
                <w:color w:val="1D2230"/>
                <w:sz w:val="17"/>
              </w:rPr>
              <w:t>Open-loop auditory stimulation did not reproduce the expected memory benefit.</w:t>
            </w:r>
          </w:p>
        </w:tc>
        <w:tc>
          <w:tcPr>
            <w:tcW w:type="dxa" w:w="3960"/>
            <w:shd w:fill="F5F6FA"/>
            <w:tcMar>
              <w:top w:w="80" w:type="dxa"/>
              <w:start w:w="120" w:type="dxa"/>
              <w:bottom w:w="80" w:type="dxa"/>
              <w:end w:w="120" w:type="dxa"/>
            </w:tcMar>
            <w:vAlign w:val="center"/>
          </w:tcPr>
          <w:p>
            <w:r>
              <w:rPr>
                <w:rFonts w:ascii="Calibri" w:hAnsi="Calibri"/>
                <w:b w:val="0"/>
                <w:i w:val="0"/>
                <w:color w:val="1D2230"/>
                <w:sz w:val="17"/>
              </w:rPr>
              <w:t>Public copy makes no memory or cognition claim and treats home cueing as experimental.</w:t>
            </w:r>
          </w:p>
        </w:tc>
      </w:tr>
      <w:tr>
        <w:tc>
          <w:tcPr>
            <w:tcW w:type="dxa" w:w="1944"/>
            <w:tcMar>
              <w:top w:w="80" w:type="dxa"/>
              <w:start w:w="120" w:type="dxa"/>
              <w:bottom w:w="80" w:type="dxa"/>
              <w:end w:w="120" w:type="dxa"/>
            </w:tcMar>
            <w:vAlign w:val="center"/>
          </w:tcPr>
          <w:p>
            <w:r>
              <w:rPr>
                <w:rFonts w:ascii="Calibri" w:hAnsi="Calibri"/>
                <w:b/>
                <w:i w:val="0"/>
                <w:color w:val="1D2230"/>
                <w:sz w:val="17"/>
              </w:rPr>
              <w:t>Chinoy et al. 2021</w:t>
            </w:r>
          </w:p>
        </w:tc>
        <w:tc>
          <w:tcPr>
            <w:tcW w:type="dxa" w:w="3456"/>
            <w:tcMar>
              <w:top w:w="80" w:type="dxa"/>
              <w:start w:w="120" w:type="dxa"/>
              <w:bottom w:w="80" w:type="dxa"/>
              <w:end w:w="120" w:type="dxa"/>
            </w:tcMar>
            <w:vAlign w:val="center"/>
          </w:tcPr>
          <w:p>
            <w:r>
              <w:rPr>
                <w:rFonts w:ascii="Calibri" w:hAnsi="Calibri"/>
                <w:b w:val="0"/>
                <w:i w:val="0"/>
                <w:color w:val="1D2230"/>
                <w:sz w:val="17"/>
              </w:rPr>
              <w:t>Consumer sleep devices perform better for sleep/wake than for detailed stage classification compared with polysomnography.</w:t>
            </w:r>
          </w:p>
        </w:tc>
        <w:tc>
          <w:tcPr>
            <w:tcW w:type="dxa" w:w="3960"/>
            <w:tcMar>
              <w:top w:w="80" w:type="dxa"/>
              <w:start w:w="120" w:type="dxa"/>
              <w:bottom w:w="80" w:type="dxa"/>
              <w:end w:w="120" w:type="dxa"/>
            </w:tcMar>
            <w:vAlign w:val="center"/>
          </w:tcPr>
          <w:p>
            <w:r>
              <w:rPr>
                <w:rFonts w:ascii="Calibri" w:hAnsi="Calibri"/>
                <w:b w:val="0"/>
                <w:i w:val="0"/>
                <w:color w:val="1D2230"/>
                <w:sz w:val="17"/>
              </w:rPr>
              <w:t>The app uses likely sleep and eligibility labels, not clinical stages.</w:t>
            </w:r>
          </w:p>
        </w:tc>
      </w:tr>
      <w:tr>
        <w:tc>
          <w:tcPr>
            <w:tcW w:type="dxa" w:w="1944"/>
            <w:shd w:fill="F5F6FA"/>
            <w:tcMar>
              <w:top w:w="80" w:type="dxa"/>
              <w:start w:w="120" w:type="dxa"/>
              <w:bottom w:w="80" w:type="dxa"/>
              <w:end w:w="120" w:type="dxa"/>
            </w:tcMar>
            <w:vAlign w:val="center"/>
          </w:tcPr>
          <w:p>
            <w:r>
              <w:rPr>
                <w:rFonts w:ascii="Calibri" w:hAnsi="Calibri"/>
                <w:b/>
                <w:i w:val="0"/>
                <w:color w:val="1D2230"/>
                <w:sz w:val="17"/>
              </w:rPr>
              <w:t>Samsung Health Sensor SDK</w:t>
            </w:r>
          </w:p>
        </w:tc>
        <w:tc>
          <w:tcPr>
            <w:tcW w:type="dxa" w:w="3456"/>
            <w:shd w:fill="F5F6FA"/>
            <w:tcMar>
              <w:top w:w="80" w:type="dxa"/>
              <w:start w:w="120" w:type="dxa"/>
              <w:bottom w:w="80" w:type="dxa"/>
              <w:end w:w="120" w:type="dxa"/>
            </w:tcMar>
            <w:vAlign w:val="center"/>
          </w:tcPr>
          <w:p>
            <w:r>
              <w:rPr>
                <w:rFonts w:ascii="Calibri" w:hAnsi="Calibri"/>
                <w:b w:val="0"/>
                <w:i w:val="0"/>
                <w:color w:val="1D2230"/>
                <w:sz w:val="17"/>
              </w:rPr>
              <w:t>Supported Galaxy watches can expose continuous HR with IBI and model-dependent skin temperature/raw PPG.</w:t>
            </w:r>
          </w:p>
        </w:tc>
        <w:tc>
          <w:tcPr>
            <w:tcW w:type="dxa" w:w="3960"/>
            <w:shd w:fill="F5F6FA"/>
            <w:tcMar>
              <w:top w:w="80" w:type="dxa"/>
              <w:start w:w="120" w:type="dxa"/>
              <w:bottom w:w="80" w:type="dxa"/>
              <w:end w:w="120" w:type="dxa"/>
            </w:tcMar>
            <w:vAlign w:val="center"/>
          </w:tcPr>
          <w:p>
            <w:r>
              <w:rPr>
                <w:rFonts w:ascii="Calibri" w:hAnsi="Calibri"/>
                <w:b w:val="0"/>
                <w:i w:val="0"/>
                <w:color w:val="1D2230"/>
                <w:sz w:val="17"/>
              </w:rPr>
              <w:t>DreamSync has an optional adapter and capability check; advanced status stays unavailable without the official AAR and live self-test.</w:t>
            </w:r>
          </w:p>
        </w:tc>
      </w:tr>
    </w:tbl>
    <w:p>
      <w:pPr>
        <w:pStyle w:val="Heading1"/>
      </w:pPr>
      <w:r>
        <w:t>Implemented decision and safety system</w:t>
      </w:r>
    </w:p>
    <w:p>
      <w:pPr>
        <w:pStyle w:val="ListBullet"/>
        <w:spacing w:after="100"/>
        <w:ind w:left="720" w:hanging="360"/>
      </w:pPr>
      <w:r>
        <w:rPr>
          <w:rFonts w:ascii="Calibri" w:hAnsi="Calibri"/>
          <w:b w:val="0"/>
          <w:i w:val="0"/>
          <w:color w:val="1D2230"/>
          <w:sz w:val="21"/>
        </w:rPr>
        <w:t>Pure feature, signal-quality, onset, eligibility, cue-policy, clock, phase, continuity, compatibility, and session-coordinator components.</w:t>
      </w:r>
    </w:p>
    <w:p>
      <w:pPr>
        <w:pStyle w:val="ListBullet"/>
        <w:spacing w:after="100"/>
        <w:ind w:left="720" w:hanging="360"/>
      </w:pPr>
      <w:r>
        <w:rPr>
          <w:rFonts w:ascii="Calibri" w:hAnsi="Calibri"/>
          <w:b w:val="0"/>
          <w:i w:val="0"/>
          <w:color w:val="1D2230"/>
          <w:sz w:val="21"/>
        </w:rPr>
        <w:t>Single-use fresh handshake after process interruption; persistent config/state/summary Data Items; short-lived cue Messages; log Asset; one bound phone and watch.</w:t>
      </w:r>
    </w:p>
    <w:p>
      <w:pPr>
        <w:pStyle w:val="ListBullet"/>
        <w:spacing w:after="100"/>
        <w:ind w:left="720" w:hanging="360"/>
      </w:pPr>
      <w:r>
        <w:rPr>
          <w:rFonts w:ascii="Calibri" w:hAnsi="Calibri"/>
          <w:b w:val="0"/>
          <w:i w:val="0"/>
          <w:color w:val="1D2230"/>
          <w:sz w:val="21"/>
        </w:rPr>
        <w:t>At-most-once playback using protocol identity, in-memory duplicate guard, single-thread playback, and durable cue-state claims. Invalid identity, type, gain, expiry, version, session, or device values produce no playback.</w:t>
      </w:r>
    </w:p>
    <w:p>
      <w:pPr>
        <w:pStyle w:val="ListBullet"/>
        <w:spacing w:after="100"/>
        <w:ind w:left="720" w:hanging="360"/>
      </w:pPr>
      <w:r>
        <w:rPr>
          <w:rFonts w:ascii="Calibri" w:hAnsi="Calibri"/>
          <w:b w:val="0"/>
          <w:i w:val="0"/>
          <w:color w:val="1D2230"/>
          <w:sz w:val="21"/>
        </w:rPr>
        <w:t>Audio preflight for speaker route, media volume, phone audio mode, focus, AudioTrack initialization, buffer write, start, completion, and interruption.</w:t>
      </w:r>
    </w:p>
    <w:p>
      <w:pPr>
        <w:pStyle w:val="ListBullet"/>
        <w:spacing w:after="100"/>
        <w:ind w:left="720" w:hanging="360"/>
      </w:pPr>
      <w:r>
        <w:rPr>
          <w:rFonts w:ascii="Calibri" w:hAnsi="Calibri"/>
          <w:b w:val="0"/>
          <w:i w:val="0"/>
          <w:color w:val="1D2230"/>
          <w:sz w:val="21"/>
        </w:rPr>
        <w:t>Automatic likely-sleep onset after sustained valid quiet; 20-minute quiet period after any arousal; first cue-linked wake sign disables cues and lowers future gain.</w:t>
      </w:r>
    </w:p>
    <w:p>
      <w:pPr>
        <w:pStyle w:val="ListBullet"/>
        <w:spacing w:after="100"/>
        <w:ind w:left="720" w:hanging="360"/>
      </w:pPr>
      <w:r>
        <w:rPr>
          <w:rFonts w:ascii="Calibri" w:hAnsi="Calibri"/>
          <w:b w:val="0"/>
          <w:i w:val="0"/>
          <w:color w:val="1D2230"/>
          <w:sz w:val="21"/>
        </w:rPr>
        <w:t>Seven-night personal baselines; optional Samsung HR+IBI, skin-temperature, off-wrist, and raw-PPG adapter; standard Wear OS motion/heart fallback.</w:t>
      </w:r>
    </w:p>
    <w:p>
      <w:pPr>
        <w:pStyle w:val="ListBullet"/>
        <w:spacing w:after="100"/>
        <w:ind w:left="720" w:hanging="360"/>
      </w:pPr>
      <w:r>
        <w:rPr>
          <w:rFonts w:ascii="Calibri" w:hAnsi="Calibri"/>
          <w:b w:val="0"/>
          <w:i w:val="0"/>
          <w:color w:val="1D2230"/>
          <w:sz w:val="21"/>
        </w:rPr>
        <w:t>Local Room records, morning disturbance and dream report, history, versioned export, deletion, and deterministic replay fingerprint containing engine versions, configuration, and thresholds.</w:t>
      </w:r>
    </w:p>
    <w:p>
      <w:pPr>
        <w:pStyle w:val="Heading1"/>
      </w:pPr>
      <w:r>
        <w:t>Verification completed</w:t>
      </w:r>
    </w:p>
    <w:p>
      <w:pPr>
        <w:pStyle w:val="ListBullet"/>
        <w:spacing w:after="100"/>
        <w:ind w:left="720" w:hanging="360"/>
      </w:pPr>
      <w:r>
        <w:rPr>
          <w:rFonts w:ascii="Calibri" w:hAnsi="Calibri"/>
          <w:b w:val="0"/>
          <w:i w:val="0"/>
          <w:color w:val="1D2230"/>
          <w:sz w:val="21"/>
        </w:rPr>
        <w:t>Twenty-seven shared deterministic/unit/property checks pass with zero failures.</w:t>
      </w:r>
    </w:p>
    <w:p>
      <w:pPr>
        <w:pStyle w:val="ListBullet"/>
        <w:spacing w:after="100"/>
        <w:ind w:left="720" w:hanging="360"/>
      </w:pPr>
      <w:r>
        <w:rPr>
          <w:rFonts w:ascii="Calibri" w:hAnsi="Calibri"/>
          <w:b w:val="0"/>
          <w:i w:val="0"/>
          <w:color w:val="1D2230"/>
          <w:sz w:val="21"/>
        </w:rPr>
        <w:t>Phone and watch source compiles. Both Android instrumentation packages compile, including schema 2-to-3 migration, permission/workflow, one-use handshake, scrollability, and visible Stop controls.</w:t>
      </w:r>
    </w:p>
    <w:p>
      <w:pPr>
        <w:pStyle w:val="ListBullet"/>
        <w:spacing w:after="100"/>
        <w:ind w:left="720" w:hanging="360"/>
      </w:pPr>
      <w:r>
        <w:rPr>
          <w:rFonts w:ascii="Calibri" w:hAnsi="Calibri"/>
          <w:b w:val="0"/>
          <w:i w:val="0"/>
          <w:color w:val="1D2230"/>
          <w:sz w:val="21"/>
        </w:rPr>
        <w:t>Google Play internal testing now serves phone version 11 and Wear version 12. Version codes are unique across both form factors.</w:t>
      </w:r>
    </w:p>
    <w:p>
      <w:pPr>
        <w:pStyle w:val="ListBullet"/>
        <w:spacing w:after="100"/>
        <w:ind w:left="720" w:hanging="360"/>
      </w:pPr>
      <w:r>
        <w:rPr>
          <w:rFonts w:ascii="Calibri" w:hAnsi="Calibri"/>
          <w:b w:val="0"/>
          <w:i w:val="0"/>
          <w:color w:val="1D2230"/>
          <w:sz w:val="21"/>
        </w:rPr>
        <w:t>No attached Android device was present for this report, so instrumentation execution and physical sensor/audio behavior are not marked pass.</w:t>
      </w:r>
    </w:p>
    <w:p>
      <w:pPr>
        <w:pStyle w:val="Heading1"/>
      </w:pPr>
      <w:r>
        <w:t>Failed and incomplete sessions</w:t>
      </w:r>
    </w:p>
    <w:p>
      <w:r>
        <w:t>No physical overnight session was created during this report update. Therefore the honest failed-night count is unknown, not zero. The system records user stop, timeout, phone loss, sensor failure, low battery, process interruption, internal error, storage failure, audio failure, expired cue, and cue-linked arousal. A report based on real exports must include every excluded or failed session and its terminal reason.</w:t>
      </w:r>
    </w:p>
    <w:p>
      <w:pPr>
        <w:pStyle w:val="Heading1"/>
      </w:pPr>
      <w:r>
        <w:t>Remaining evidence gates</w:t>
      </w:r>
    </w:p>
    <w:p>
      <w:pPr>
        <w:pStyle w:val="ListBullet"/>
        <w:spacing w:after="100"/>
        <w:ind w:left="720" w:hanging="360"/>
      </w:pPr>
      <w:r>
        <w:rPr>
          <w:rFonts w:ascii="Calibri" w:hAnsi="Calibri"/>
          <w:b w:val="0"/>
          <w:i w:val="0"/>
          <w:color w:val="1D2230"/>
          <w:sz w:val="21"/>
        </w:rPr>
        <w:t>Samsung: sign in, obtain the official Health Sensor SDK AAR, join the Partner Program, and register com.remote.DreamSync plus the signing certificate.</w:t>
      </w:r>
    </w:p>
    <w:p>
      <w:pPr>
        <w:pStyle w:val="ListBullet"/>
        <w:spacing w:after="100"/>
        <w:ind w:left="720" w:hanging="360"/>
      </w:pPr>
      <w:r>
        <w:rPr>
          <w:rFonts w:ascii="Calibri" w:hAnsi="Calibri"/>
          <w:b w:val="0"/>
          <w:i w:val="0"/>
          <w:color w:val="1D2230"/>
          <w:sz w:val="21"/>
        </w:rPr>
        <w:t>Ownership: confirm written rights for every inherited source file before any public production release; the repository license alone cannot prove provenance.</w:t>
      </w:r>
    </w:p>
    <w:p>
      <w:pPr>
        <w:pStyle w:val="ListBullet"/>
        <w:spacing w:after="100"/>
        <w:ind w:left="720" w:hanging="360"/>
      </w:pPr>
      <w:r>
        <w:rPr>
          <w:rFonts w:ascii="Calibri" w:hAnsi="Calibri"/>
          <w:b w:val="0"/>
          <w:i w:val="0"/>
          <w:color w:val="1D2230"/>
          <w:sz w:val="21"/>
        </w:rPr>
        <w:t>Hardware: run S23+ and Galaxy Watch Ultra permission, route, off-wrist, disconnect, process-death, low-battery, storage, audio-timing, battery, and summary-recovery drills.</w:t>
      </w:r>
    </w:p>
    <w:p>
      <w:pPr>
        <w:pStyle w:val="ListBullet"/>
        <w:spacing w:after="100"/>
        <w:ind w:left="720" w:hanging="360"/>
      </w:pPr>
      <w:r>
        <w:rPr>
          <w:rFonts w:ascii="Calibri" w:hAnsi="Calibri"/>
          <w:b w:val="0"/>
          <w:i w:val="0"/>
          <w:color w:val="1D2230"/>
          <w:sz w:val="21"/>
        </w:rPr>
        <w:t>Sleep validity: compare likely onset and awakenings with synchronized polysomnography before stage-accuracy language.</w:t>
      </w:r>
    </w:p>
    <w:p>
      <w:pPr>
        <w:pStyle w:val="ListBullet"/>
        <w:spacing w:after="100"/>
        <w:ind w:left="720" w:hanging="360"/>
      </w:pPr>
      <w:r>
        <w:rPr>
          <w:rFonts w:ascii="Calibri" w:hAnsi="Calibri"/>
          <w:b w:val="0"/>
          <w:i w:val="0"/>
          <w:color w:val="1D2230"/>
          <w:sz w:val="21"/>
        </w:rPr>
        <w:t>Sleep continuity: complete at least three sensor-only nights, then a pre-registered 12-20-night no-cue/cue-enabled protocol before saying the app reduces fragmentation or keeps users asleep.</w:t>
      </w:r>
    </w:p>
    <w:p>
      <w:pPr>
        <w:pStyle w:val="ListBullet"/>
        <w:spacing w:after="100"/>
        <w:ind w:left="720" w:hanging="360"/>
      </w:pPr>
      <w:r>
        <w:rPr>
          <w:rFonts w:ascii="Calibri" w:hAnsi="Calibri"/>
          <w:b w:val="0"/>
          <w:i w:val="0"/>
          <w:color w:val="1D2230"/>
          <w:sz w:val="21"/>
        </w:rPr>
        <w:t>Google Play: complete ownership/policy declarations and the account's closed-release production eligibility gate.</w:t>
      </w:r>
    </w:p>
    <w:p>
      <w:pPr>
        <w:pStyle w:val="Heading1"/>
      </w:pPr>
      <w:r>
        <w:t>Recommended next experiment</w:t>
      </w:r>
    </w:p>
    <w:p>
      <w:pPr>
        <w:spacing w:after="120"/>
      </w:pPr>
      <w:r>
        <w:rPr>
          <w:rFonts w:ascii="Calibri" w:hAnsi="Calibri"/>
          <w:b/>
          <w:i w:val="0"/>
          <w:color w:val="1E2247"/>
          <w:sz w:val="21"/>
        </w:rPr>
        <w:t xml:space="preserve">Question. </w:t>
      </w:r>
      <w:r>
        <w:rPr>
          <w:rFonts w:ascii="Calibri" w:hAnsi="Calibri"/>
          <w:b w:val="0"/>
          <w:i w:val="0"/>
          <w:color w:val="1D2230"/>
          <w:sz w:val="21"/>
        </w:rPr>
        <w:t>Does cue-enabled DreamSync preserve or improve sleep continuity compared with the same user's sensor-only baseline without raising cue-linked arousals or morning disturbance?</w:t>
      </w:r>
    </w:p>
    <w:p>
      <w:pPr>
        <w:spacing w:after="120"/>
      </w:pPr>
      <w:r>
        <w:rPr>
          <w:rFonts w:ascii="Calibri" w:hAnsi="Calibri"/>
          <w:b/>
          <w:i w:val="0"/>
          <w:color w:val="1E2247"/>
          <w:sz w:val="21"/>
        </w:rPr>
        <w:t xml:space="preserve">Design. </w:t>
      </w:r>
      <w:r>
        <w:rPr>
          <w:rFonts w:ascii="Calibri" w:hAnsi="Calibri"/>
          <w:b w:val="0"/>
          <w:i w:val="0"/>
          <w:color w:val="1D2230"/>
          <w:sz w:val="21"/>
        </w:rPr>
        <w:t>Three sensor-only readiness nights, then 12-20 pre-registered nights with balanced no-cue and cue-enabled conditions after all hardware fault drills pass. Keep volume fixed from calibration and stop immediately under any safety gate.</w:t>
      </w:r>
    </w:p>
    <w:p>
      <w:pPr>
        <w:spacing w:after="120"/>
      </w:pPr>
      <w:r>
        <w:rPr>
          <w:rFonts w:ascii="Calibri" w:hAnsi="Calibri"/>
          <w:b/>
          <w:i w:val="0"/>
          <w:color w:val="1E2247"/>
          <w:sz w:val="21"/>
        </w:rPr>
        <w:t xml:space="preserve">Primary outcomes. </w:t>
      </w:r>
      <w:r>
        <w:rPr>
          <w:rFonts w:ascii="Calibri" w:hAnsi="Calibri"/>
          <w:b w:val="0"/>
          <w:i w:val="0"/>
          <w:color w:val="1D2230"/>
          <w:sz w:val="21"/>
        </w:rPr>
        <w:t>Usable-session rate, cue-linked arousal rate, awakening count, wake-after-sleep-onset, longest uninterrupted bout, morning disturbance, and battery use. Dream recall and lucidity remain exploratory.</w:t>
      </w:r>
    </w:p>
    <w:p>
      <w:pPr>
        <w:spacing w:after="120"/>
      </w:pPr>
      <w:r>
        <w:rPr>
          <w:rFonts w:ascii="Calibri" w:hAnsi="Calibri"/>
          <w:b/>
          <w:i w:val="0"/>
          <w:color w:val="1E2247"/>
          <w:sz w:val="21"/>
        </w:rPr>
        <w:t xml:space="preserve">Analysis. </w:t>
      </w:r>
      <w:r>
        <w:rPr>
          <w:rFonts w:ascii="Calibri" w:hAnsi="Calibri"/>
          <w:b w:val="0"/>
          <w:i w:val="0"/>
          <w:color w:val="1D2230"/>
          <w:sz w:val="21"/>
        </w:rPr>
        <w:t>Paired descriptive differences with confidence intervals where justified. List every failed/excluded session. Do not infer a medical, biological, memory, or stage effect from wrist signals alone.</w:t>
      </w:r>
    </w:p>
    <w:p>
      <w:pPr>
        <w:pStyle w:val="Heading1"/>
      </w:pPr>
      <w:r>
        <w:t>Human review checklist</w:t>
      </w:r>
    </w:p>
    <w:p>
      <w:pPr>
        <w:pStyle w:val="ListBullet"/>
        <w:spacing w:after="100"/>
        <w:ind w:left="720" w:hanging="360"/>
      </w:pPr>
      <w:r>
        <w:rPr>
          <w:rFonts w:ascii="Calibri" w:hAnsi="Calibri"/>
          <w:b w:val="0"/>
          <w:i w:val="0"/>
          <w:color w:val="1D2230"/>
          <w:sz w:val="21"/>
        </w:rPr>
        <w:t>Verify each research statement against the linked paper or official SDK/Android source.</w:t>
      </w:r>
    </w:p>
    <w:p>
      <w:pPr>
        <w:pStyle w:val="ListBullet"/>
        <w:spacing w:after="100"/>
        <w:ind w:left="720" w:hanging="360"/>
      </w:pPr>
      <w:r>
        <w:rPr>
          <w:rFonts w:ascii="Calibri" w:hAnsi="Calibri"/>
          <w:b w:val="0"/>
          <w:i w:val="0"/>
          <w:color w:val="1D2230"/>
          <w:sz w:val="21"/>
        </w:rPr>
        <w:t>Confirm the export is de-identified and contains no account, precise identity, or unnecessary free text before Codex use.</w:t>
      </w:r>
    </w:p>
    <w:p>
      <w:pPr>
        <w:pStyle w:val="ListBullet"/>
        <w:spacing w:after="100"/>
        <w:ind w:left="720" w:hanging="360"/>
      </w:pPr>
      <w:r>
        <w:rPr>
          <w:rFonts w:ascii="Calibri" w:hAnsi="Calibri"/>
          <w:b w:val="0"/>
          <w:i w:val="0"/>
          <w:color w:val="1D2230"/>
          <w:sz w:val="21"/>
        </w:rPr>
        <w:t>Attach hardware logs, battery measurements, instrumentation results, and failed-session reasons.</w:t>
      </w:r>
    </w:p>
    <w:p>
      <w:pPr>
        <w:pStyle w:val="ListBullet"/>
        <w:spacing w:after="100"/>
        <w:ind w:left="720" w:hanging="360"/>
      </w:pPr>
      <w:r>
        <w:rPr>
          <w:rFonts w:ascii="Calibri" w:hAnsi="Calibri"/>
          <w:b w:val="0"/>
          <w:i w:val="0"/>
          <w:color w:val="1D2230"/>
          <w:sz w:val="21"/>
        </w:rPr>
        <w:t>Confirm source ownership and partner/Play requirements before public release.</w:t>
      </w:r>
    </w:p>
    <w:p>
      <w:pPr>
        <w:pStyle w:val="ListBullet"/>
        <w:spacing w:after="100"/>
        <w:ind w:left="720" w:hanging="360"/>
      </w:pPr>
      <w:r>
        <w:rPr>
          <w:rFonts w:ascii="Calibri" w:hAnsi="Calibri"/>
          <w:b w:val="0"/>
          <w:i w:val="0"/>
          <w:color w:val="1D2230"/>
          <w:sz w:val="21"/>
        </w:rPr>
        <w:t>Approve, reject, or revise every conclusion. Reviewer: __________________  Date: __________  Decision: __________</w:t>
      </w:r>
    </w:p>
    <w:p>
      <w:pPr>
        <w:pStyle w:val="Heading1"/>
      </w:pPr>
      <w:r>
        <w:t>References</w:t>
      </w:r>
    </w:p>
    <w:p>
      <w:pPr>
        <w:pStyle w:val="ListNumber"/>
        <w:spacing w:after="80"/>
      </w:pPr>
      <w:r>
        <w:rPr>
          <w:rFonts w:ascii="Calibri" w:hAnsi="Calibri"/>
          <w:b w:val="0"/>
          <w:i w:val="0"/>
          <w:color w:val="1D2230"/>
          <w:sz w:val="18"/>
        </w:rPr>
        <w:t>Besedovsky L, Ngo H-VV, Dimitrov S, et al. Auditory closed-loop stimulation of EEG slow oscillations strengthens sleep and signs of its immune-supportive function. Nature Communications. 2017;8:1984. https://doi.org/10.1038/s41467-017-02170-3</w:t>
      </w:r>
    </w:p>
    <w:p>
      <w:pPr>
        <w:pStyle w:val="ListNumber"/>
        <w:spacing w:after="80"/>
      </w:pPr>
      <w:r>
        <w:rPr>
          <w:rFonts w:ascii="Calibri" w:hAnsi="Calibri"/>
          <w:b w:val="0"/>
          <w:i w:val="0"/>
          <w:color w:val="1D2230"/>
          <w:sz w:val="18"/>
        </w:rPr>
        <w:t>Ngo H-VV, Martinetz T, Born J, Molle M. Auditory closed-loop stimulation of the sleep slow oscillation enhances memory. Neuron. 2013;78:545-553. https://doi.org/10.1016/j.neuron.2013.03.006</w:t>
      </w:r>
    </w:p>
    <w:p>
      <w:pPr>
        <w:pStyle w:val="ListNumber"/>
        <w:spacing w:after="80"/>
      </w:pPr>
      <w:r>
        <w:rPr>
          <w:rFonts w:ascii="Calibri" w:hAnsi="Calibri"/>
          <w:b w:val="0"/>
          <w:i w:val="0"/>
          <w:color w:val="1D2230"/>
          <w:sz w:val="18"/>
        </w:rPr>
        <w:t>Weigenand A, Molle M, Werner F, Martinetz T, Marshall L. Timing matters: open-loop stimulation does not improve overnight consolidation. European Journal of Neuroscience. 2016;44:2357-2368. https://doi.org/10.1111/ejn.13334</w:t>
      </w:r>
    </w:p>
    <w:p>
      <w:pPr>
        <w:pStyle w:val="ListNumber"/>
        <w:spacing w:after="80"/>
      </w:pPr>
      <w:r>
        <w:rPr>
          <w:rFonts w:ascii="Calibri" w:hAnsi="Calibri"/>
          <w:b w:val="0"/>
          <w:i w:val="0"/>
          <w:color w:val="1D2230"/>
          <w:sz w:val="18"/>
        </w:rPr>
        <w:t>Chinoy ED, Cuellar JA, Huwa KE, et al. Performance of seven consumer sleep-tracking devices compared with polysomnography. Sleep. 2021;44(5):zsaa291. https://doi.org/10.1093/sleep/zsaa291</w:t>
      </w:r>
    </w:p>
    <w:p>
      <w:pPr>
        <w:pStyle w:val="ListNumber"/>
        <w:spacing w:after="80"/>
      </w:pPr>
      <w:r>
        <w:rPr>
          <w:rFonts w:ascii="Calibri" w:hAnsi="Calibri"/>
          <w:b w:val="0"/>
          <w:i w:val="0"/>
          <w:color w:val="1D2230"/>
          <w:sz w:val="18"/>
        </w:rPr>
        <w:t>Samsung Health Sensor SDK overview and guides. https://developer.samsung.com/health/sensor/overview.html</w:t>
      </w:r>
    </w:p>
    <w:p>
      <w:pPr>
        <w:pStyle w:val="ListNumber"/>
        <w:spacing w:after="80"/>
      </w:pPr>
      <w:r>
        <w:rPr>
          <w:rFonts w:ascii="Calibri" w:hAnsi="Calibri"/>
          <w:b w:val="0"/>
          <w:i w:val="0"/>
          <w:color w:val="1D2230"/>
          <w:sz w:val="18"/>
        </w:rPr>
        <w:t>Android Wear Data Layer client types and foreground-service rules. https://developer.android.com/training/wearables/data/client-types and https://developer.android.com/develop/background-work/services/fgs/launch</w:t>
      </w:r>
    </w:p>
    <w:p>
      <w:pPr>
        <w:pStyle w:val="ListNumber"/>
        <w:spacing w:after="80"/>
      </w:pPr>
      <w:r>
        <w:rPr>
          <w:rFonts w:ascii="Calibri" w:hAnsi="Calibri"/>
          <w:b w:val="0"/>
          <w:i w:val="0"/>
          <w:color w:val="1D2230"/>
          <w:sz w:val="18"/>
        </w:rPr>
        <w:t>DreamSync deep research report, evidence matrix, source, schemas, checks, and versioned sample export.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673"/>
        <w:sz w:val="17"/>
      </w:rPr>
      <w:t xml:space="preserve">Remote | Page </w:t>
    </w:r>
    <w:r>
      <w:rPr>
        <w:rFonts w:ascii="Calibri" w:hAnsi="Calibri"/>
        <w:b w:val="0"/>
        <w:i w:val="0"/>
        <w:color w:val="5F66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673"/>
        <w:sz w:val="17"/>
      </w:rPr>
      <w:t>DreamSync | Dreams Redefined.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5367E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367E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2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