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i w:val="0"/>
          <w:color w:val="1E2247"/>
          <w:sz w:val="38"/>
        </w:rPr>
        <w:t>DreamSync Capstone Proposal</w:t>
      </w:r>
    </w:p>
    <w:p>
      <w:pPr>
        <w:spacing w:after="80"/>
      </w:pPr>
      <w:r>
        <w:rPr>
          <w:rFonts w:ascii="Calibri" w:hAnsi="Calibri"/>
          <w:b w:val="0"/>
          <w:i w:val="0"/>
          <w:color w:val="5F6673"/>
          <w:sz w:val="18"/>
        </w:rPr>
        <w:t>Dreams Redefined. Designed to protect sleep continuity.</w:t>
      </w:r>
    </w:p>
    <w:p>
      <w:pPr>
        <w:spacing w:after="44"/>
      </w:pPr>
      <w:r>
        <w:rPr>
          <w:rFonts w:ascii="Calibri" w:hAnsi="Calibri"/>
          <w:b/>
          <w:i w:val="0"/>
          <w:color w:val="1E2247"/>
          <w:sz w:val="17"/>
        </w:rPr>
        <w:t xml:space="preserve">Problem. </w:t>
      </w:r>
      <w:r>
        <w:rPr>
          <w:rFonts w:ascii="Calibri" w:hAnsi="Calibri"/>
          <w:b w:val="0"/>
          <w:i w:val="0"/>
          <w:color w:val="1D2230"/>
          <w:sz w:val="17"/>
        </w:rPr>
        <w:t>Consumer watches can estimate likely sleep, but home audio cue systems can disturb the sleeper when signals are weak, stale, or misread. The capstone must prove a safer workflow: detect likely sleep after one visible nightly Arm action, stay quiet under uncertainty, and stop at the first cue-linked wake sign.</w:t>
      </w:r>
    </w:p>
    <w:p>
      <w:pPr>
        <w:spacing w:after="44"/>
      </w:pPr>
      <w:r>
        <w:rPr>
          <w:rFonts w:ascii="Calibri" w:hAnsi="Calibri"/>
          <w:b/>
          <w:i w:val="0"/>
          <w:color w:val="1E2247"/>
          <w:sz w:val="17"/>
        </w:rPr>
        <w:t xml:space="preserve">Primary user. </w:t>
      </w:r>
      <w:r>
        <w:rPr>
          <w:rFonts w:ascii="Calibri" w:hAnsi="Calibri"/>
          <w:b w:val="0"/>
          <w:i w:val="0"/>
          <w:color w:val="1D2230"/>
          <w:sz w:val="17"/>
        </w:rPr>
        <w:t>An adult wellness user with an Android phone and compatible Samsung Galaxy Watch, beginning with Galaxy Watch Ultra 2024/2025. The user wants automatic, local, non-medical sleep-continuity support and accepts that wrist sensing is not EEG.</w:t>
      </w:r>
    </w:p>
    <w:p>
      <w:pPr>
        <w:spacing w:after="44"/>
      </w:pPr>
      <w:r>
        <w:rPr>
          <w:rFonts w:ascii="Calibri" w:hAnsi="Calibri"/>
          <w:b/>
          <w:i w:val="0"/>
          <w:color w:val="1E2247"/>
          <w:sz w:val="17"/>
        </w:rPr>
        <w:t xml:space="preserve">Solution and AI workflow. </w:t>
      </w:r>
      <w:r>
        <w:rPr>
          <w:rFonts w:ascii="Calibri" w:hAnsi="Calibri"/>
          <w:b w:val="0"/>
          <w:i w:val="0"/>
          <w:color w:val="1D2230"/>
          <w:sz w:val="17"/>
        </w:rPr>
        <w:t>Phone and watch bind one session through a versioned protocol. The watch extracts motion, heart-rate, optional IBI and skin-temperature features; estimates likely sleep onset; applies quality, phase, arousal, route, battery, storage, and connection gates; and requests low-volume phone audio only when every gate passes. A versioned local export is de-identified before GPT Codex Sol summarizes it. A human verifies every source, limitation, failed session, and recommendation before use.</w:t>
      </w:r>
    </w:p>
    <w:p>
      <w:pPr>
        <w:pStyle w:val="Heading1"/>
      </w:pPr>
      <w:r>
        <w:t>Numeric success gates</w:t>
      </w:r>
    </w:p>
    <w:p>
      <w:pPr>
        <w:pStyle w:val="ListBullet"/>
        <w:spacing w:after="26"/>
        <w:ind w:left="346" w:hanging="202"/>
      </w:pPr>
      <w:r>
        <w:rPr>
          <w:rFonts w:ascii="Calibri" w:hAnsi="Calibri"/>
          <w:b w:val="0"/>
          <w:i w:val="0"/>
          <w:color w:val="1D2230"/>
          <w:sz w:val="16"/>
        </w:rPr>
        <w:t>Software invariant: one valid cue request produces at most one playback; every invalid request produces none.</w:t>
      </w:r>
    </w:p>
    <w:p>
      <w:pPr>
        <w:pStyle w:val="ListBullet"/>
        <w:spacing w:after="26"/>
        <w:ind w:left="346" w:hanging="202"/>
      </w:pPr>
      <w:r>
        <w:rPr>
          <w:rFonts w:ascii="Calibri" w:hAnsi="Calibri"/>
          <w:b w:val="0"/>
          <w:i w:val="0"/>
          <w:color w:val="1D2230"/>
          <w:sz w:val="16"/>
        </w:rPr>
        <w:t>Reliability: 100% of cue allowance is charged only after AUDIO_STARTED; 100% of interruption paths disable cueing until a fresh handshake.</w:t>
      </w:r>
    </w:p>
    <w:p>
      <w:pPr>
        <w:pStyle w:val="ListBullet"/>
        <w:spacing w:after="26"/>
        <w:ind w:left="346" w:hanging="202"/>
      </w:pPr>
      <w:r>
        <w:rPr>
          <w:rFonts w:ascii="Calibri" w:hAnsi="Calibri"/>
          <w:b w:val="0"/>
          <w:i w:val="0"/>
          <w:color w:val="1D2230"/>
          <w:sz w:val="16"/>
        </w:rPr>
        <w:t>Live readiness target: at least 90% usable motion and cardiac coverage, no unexplained terminal failures, and recovered summaries after disconnect/process-loss drills.</w:t>
      </w:r>
    </w:p>
    <w:p>
      <w:pPr>
        <w:pStyle w:val="ListBullet"/>
        <w:spacing w:after="26"/>
        <w:ind w:left="346" w:hanging="202"/>
      </w:pPr>
      <w:r>
        <w:rPr>
          <w:rFonts w:ascii="Calibri" w:hAnsi="Calibri"/>
          <w:b w:val="0"/>
          <w:i w:val="0"/>
          <w:color w:val="1D2230"/>
          <w:sz w:val="16"/>
        </w:rPr>
        <w:t>Sleep-first study target: cue-linked arousal rate at or below 5% and no worsening of awakening count, wake-after-sleep-onset, longest sleep bout, or morning disturbance versus three sensor-only baseline nights.</w:t>
      </w:r>
    </w:p>
    <w:p>
      <w:pPr>
        <w:pStyle w:val="ListBullet"/>
        <w:spacing w:after="26"/>
        <w:ind w:left="346" w:hanging="202"/>
      </w:pPr>
      <w:r>
        <w:rPr>
          <w:rFonts w:ascii="Calibri" w:hAnsi="Calibri"/>
          <w:b w:val="0"/>
          <w:i w:val="0"/>
          <w:color w:val="1D2230"/>
          <w:sz w:val="16"/>
        </w:rPr>
        <w:t>Battery target: no more than 25 percentage points over an eight-hour Watch Ultra session. No sleep-effect claim before 12-20 nights and PSG validation of any stage claim.</w:t>
      </w:r>
    </w:p>
    <w:p>
      <w:pPr>
        <w:pStyle w:val="Heading1"/>
      </w:pPr>
      <w:r>
        <w:t>Scope</w:t>
      </w:r>
    </w:p>
    <w:p>
      <w:pPr>
        <w:spacing w:after="44"/>
      </w:pPr>
      <w:r>
        <w:rPr>
          <w:rFonts w:ascii="Calibri" w:hAnsi="Calibri"/>
          <w:b/>
          <w:i w:val="0"/>
          <w:color w:val="1E2247"/>
          <w:sz w:val="17"/>
        </w:rPr>
        <w:t xml:space="preserve">Must have. </w:t>
      </w:r>
      <w:r>
        <w:rPr>
          <w:rFonts w:ascii="Calibri" w:hAnsi="Calibri"/>
          <w:b w:val="0"/>
          <w:i w:val="0"/>
          <w:color w:val="1D2230"/>
          <w:sz w:val="17"/>
        </w:rPr>
        <w:t>Automatic likely-sleep detection after Arm; deterministic local decisions; fail-closed phone/watch protocol; durable Room records; audio and signal readiness; off-wrist and arousal protection; morning report; history, export, and deletion; capability-based compatibility; human-reviewed Codex report.</w:t>
      </w:r>
    </w:p>
    <w:p>
      <w:pPr>
        <w:spacing w:after="44"/>
      </w:pPr>
      <w:r>
        <w:rPr>
          <w:rFonts w:ascii="Calibri" w:hAnsi="Calibri"/>
          <w:b/>
          <w:i w:val="0"/>
          <w:color w:val="1E2247"/>
          <w:sz w:val="17"/>
        </w:rPr>
        <w:t xml:space="preserve">Won't have now. </w:t>
      </w:r>
      <w:r>
        <w:rPr>
          <w:rFonts w:ascii="Calibri" w:hAnsi="Calibri"/>
          <w:b w:val="0"/>
          <w:i w:val="0"/>
          <w:color w:val="1D2230"/>
          <w:sz w:val="17"/>
        </w:rPr>
        <w:t>EEG phase locking, diagnosis or treatment, guaranteed uninterrupted sleep, guaranteed lucid dreams, silent background health-service starts, autonomous cloud upload, Apple Watch support, or public efficacy claims.</w:t>
      </w:r>
    </w:p>
    <w:p>
      <w:pPr>
        <w:pStyle w:val="Heading1"/>
      </w:pPr>
      <w:r>
        <w:t>Risks and controls</w:t>
      </w:r>
    </w:p>
    <w:p>
      <w:pPr>
        <w:pStyle w:val="ListBullet"/>
        <w:spacing w:after="26"/>
        <w:ind w:left="346" w:hanging="202"/>
      </w:pPr>
      <w:r>
        <w:rPr>
          <w:rFonts w:ascii="Calibri" w:hAnsi="Calibri"/>
          <w:b w:val="0"/>
          <w:i w:val="0"/>
          <w:color w:val="1D2230"/>
          <w:sz w:val="16"/>
        </w:rPr>
        <w:t>Wrong sleep estimate -&gt; require sustained stillness plus fresh cardiac data; label states as likely/eligible, never clinical stages.</w:t>
      </w:r>
    </w:p>
    <w:p>
      <w:pPr>
        <w:pStyle w:val="ListBullet"/>
        <w:spacing w:after="26"/>
        <w:ind w:left="346" w:hanging="202"/>
      </w:pPr>
      <w:r>
        <w:rPr>
          <w:rFonts w:ascii="Calibri" w:hAnsi="Calibri"/>
          <w:b w:val="0"/>
          <w:i w:val="0"/>
          <w:color w:val="1D2230"/>
          <w:sz w:val="16"/>
        </w:rPr>
        <w:t>Cue causes waking -&gt; 20-minute quiet period after any arousal; first cue-linked arousal ends cues and lowers future volume.</w:t>
      </w:r>
    </w:p>
    <w:p>
      <w:pPr>
        <w:pStyle w:val="ListBullet"/>
        <w:spacing w:after="26"/>
        <w:ind w:left="346" w:hanging="202"/>
      </w:pPr>
      <w:r>
        <w:rPr>
          <w:rFonts w:ascii="Calibri" w:hAnsi="Calibri"/>
          <w:b w:val="0"/>
          <w:i w:val="0"/>
          <w:color w:val="1D2230"/>
          <w:sz w:val="16"/>
        </w:rPr>
        <w:t>Sensor, route, phone, battery, permission, or storage failure -&gt; logging-only or terminal state with a plain explanation and fresh-handshake requirement.</w:t>
      </w:r>
    </w:p>
    <w:p>
      <w:pPr>
        <w:pStyle w:val="ListBullet"/>
        <w:spacing w:after="26"/>
        <w:ind w:left="346" w:hanging="202"/>
      </w:pPr>
      <w:r>
        <w:rPr>
          <w:rFonts w:ascii="Calibri" w:hAnsi="Calibri"/>
          <w:b w:val="0"/>
          <w:i w:val="0"/>
          <w:color w:val="1D2230"/>
          <w:sz w:val="16"/>
        </w:rPr>
        <w:t>AI overclaim or privacy leak -&gt; local calculation, de-identified summary only, source mapping, and mandatory human approval.</w:t>
      </w:r>
    </w:p>
    <w:p>
      <w:pPr>
        <w:pStyle w:val="Heading1"/>
      </w:pPr>
      <w:r>
        <w:t>Three-week delivery</w:t>
      </w:r>
    </w:p>
    <w:p>
      <w:pPr>
        <w:spacing w:after="44"/>
      </w:pPr>
      <w:r>
        <w:rPr>
          <w:rFonts w:ascii="Calibri" w:hAnsi="Calibri"/>
          <w:b/>
          <w:i w:val="0"/>
          <w:color w:val="1E2247"/>
          <w:sz w:val="17"/>
        </w:rPr>
        <w:t xml:space="preserve">Week 1. </w:t>
      </w:r>
      <w:r>
        <w:rPr>
          <w:rFonts w:ascii="Calibri" w:hAnsi="Calibri"/>
          <w:b w:val="0"/>
          <w:i w:val="0"/>
          <w:color w:val="1D2230"/>
          <w:sz w:val="17"/>
        </w:rPr>
        <w:t>Protocol, persistence, pure feature/quality/policy/coordinator components, automatic onset, and unit/property checks.</w:t>
      </w:r>
    </w:p>
    <w:p>
      <w:pPr>
        <w:spacing w:after="44"/>
      </w:pPr>
      <w:r>
        <w:rPr>
          <w:rFonts w:ascii="Calibri" w:hAnsi="Calibri"/>
          <w:b/>
          <w:i w:val="0"/>
          <w:color w:val="1E2247"/>
          <w:sz w:val="17"/>
        </w:rPr>
        <w:t xml:space="preserve">Week 2. </w:t>
      </w:r>
      <w:r>
        <w:rPr>
          <w:rFonts w:ascii="Calibri" w:hAnsi="Calibri"/>
          <w:b w:val="0"/>
          <w:i w:val="0"/>
          <w:color w:val="1D2230"/>
          <w:sz w:val="17"/>
        </w:rPr>
        <w:t>Audio and watchdog gates, seven-night baseline, continuity metrics, compatibility, survey, export, and Android test packages.</w:t>
      </w:r>
    </w:p>
    <w:p>
      <w:pPr>
        <w:spacing w:after="44"/>
      </w:pPr>
      <w:r>
        <w:rPr>
          <w:rFonts w:ascii="Calibri" w:hAnsi="Calibri"/>
          <w:b/>
          <w:i w:val="0"/>
          <w:color w:val="1E2247"/>
          <w:sz w:val="17"/>
        </w:rPr>
        <w:t xml:space="preserve">Week 3. </w:t>
      </w:r>
      <w:r>
        <w:rPr>
          <w:rFonts w:ascii="Calibri" w:hAnsi="Calibri"/>
          <w:b w:val="0"/>
          <w:i w:val="0"/>
          <w:color w:val="1D2230"/>
          <w:sz w:val="17"/>
        </w:rPr>
        <w:t>Signed phone/watch builds, internal Play release, hardware fault drills, sample export/replay, evidence matrix, presentation, and human-reviewed report.</w:t>
      </w:r>
    </w:p>
    <w:p>
      <w:pPr>
        <w:spacing w:after="44"/>
      </w:pPr>
      <w:r>
        <w:rPr>
          <w:rFonts w:ascii="Calibri" w:hAnsi="Calibri"/>
          <w:b/>
          <w:i w:val="0"/>
          <w:color w:val="1E2247"/>
          <w:sz w:val="17"/>
        </w:rPr>
        <w:t xml:space="preserve">Current evidence. </w:t>
      </w:r>
      <w:r>
        <w:rPr>
          <w:rFonts w:ascii="Calibri" w:hAnsi="Calibri"/>
          <w:b w:val="0"/>
          <w:i w:val="0"/>
          <w:color w:val="1D2230"/>
          <w:sz w:val="17"/>
        </w:rPr>
        <w:t>Phone 11 and Wear 12 are published to internal testing. Twenty-seven deterministic core checks pass; phone and watch Android test packages compile. Physical Watch Ultra, Samsung partner SDK, PSG, multi-night study, Google production gate, and source-ownership confirmation remain external gates.</w:t>
      </w:r>
    </w:p>
    <w:sectPr w:rsidR="00FC693F" w:rsidRPr="0006063C" w:rsidSect="00034616">
      <w:pgSz w:w="12240" w:h="15840"/>
      <w:pgMar w:top="893" w:right="893" w:bottom="893" w:left="89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40" w:lineRule="auto"/>
    </w:pPr>
    <w:rPr>
      <w:rFonts w:ascii="Calibri" w:hAnsi="Calibri"/>
      <w:color w:val="1D223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5367E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30"/>
      <w:outlineLvl w:val="1"/>
    </w:pPr>
    <w:rPr>
      <w:rFonts w:asciiTheme="majorHAnsi" w:eastAsiaTheme="majorEastAsia" w:hAnsiTheme="majorHAnsi" w:cstheme="majorBidi" w:ascii="Calibri" w:hAnsi="Calibri"/>
      <w:b/>
      <w:bCs/>
      <w:color w:val="5367E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Calibri" w:hAnsi="Calibri"/>
      <w:b/>
      <w:bCs/>
      <w:color w:val="1E2247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