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B54" w:rsidRDefault="00795B54" w:rsidP="00795B54">
      <w:pPr>
        <w:autoSpaceDE w:val="0"/>
        <w:autoSpaceDN w:val="0"/>
        <w:adjustRightInd w:val="0"/>
        <w:jc w:val="left"/>
        <w:rPr>
          <w:rFonts w:cs="Arial"/>
          <w:color w:val="000000"/>
        </w:rPr>
      </w:pPr>
    </w:p>
    <w:p w:rsidR="000F3016" w:rsidRPr="00362E96" w:rsidRDefault="00795B54" w:rsidP="00A71610">
      <w:pPr>
        <w:autoSpaceDE w:val="0"/>
        <w:autoSpaceDN w:val="0"/>
        <w:adjustRightInd w:val="0"/>
        <w:ind w:left="2160" w:hanging="1440"/>
        <w:jc w:val="left"/>
        <w:rPr>
          <w:rFonts w:cs="Calibri"/>
        </w:rPr>
      </w:pPr>
      <w:r w:rsidRPr="006971C1">
        <w:rPr>
          <w:rFonts w:cs="Arial"/>
          <w:b/>
          <w:color w:val="000000"/>
          <w:sz w:val="24"/>
        </w:rPr>
        <w:t>Description:</w:t>
      </w:r>
      <w:r w:rsidRPr="00360646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ab/>
      </w:r>
      <w:r w:rsidR="007A6F87">
        <w:rPr>
          <w:rFonts w:cs="Calibri"/>
        </w:rPr>
        <w:t xml:space="preserve">Application of </w:t>
      </w:r>
      <w:proofErr w:type="spellStart"/>
      <w:r w:rsidR="007A6F87">
        <w:rPr>
          <w:rFonts w:cs="Calibri"/>
        </w:rPr>
        <w:t>freqentist</w:t>
      </w:r>
      <w:proofErr w:type="spellEnd"/>
      <w:r w:rsidR="007A6F87">
        <w:rPr>
          <w:rFonts w:cs="Calibri"/>
        </w:rPr>
        <w:t xml:space="preserve"> power and sample size estimation methods. </w:t>
      </w:r>
    </w:p>
    <w:p w:rsidR="00362E96" w:rsidRDefault="003A54BE" w:rsidP="00E71152">
      <w:pPr>
        <w:pStyle w:val="Heading1"/>
        <w:spacing w:after="120" w:afterAutospacing="0"/>
      </w:pPr>
      <w:r>
        <w:t>Overview</w:t>
      </w:r>
    </w:p>
    <w:p w:rsidR="0043240A" w:rsidRDefault="0043240A" w:rsidP="00422E37">
      <w:pPr>
        <w:ind w:firstLine="720"/>
      </w:pPr>
      <w:proofErr w:type="spellStart"/>
      <w:r>
        <w:t>Frequentist</w:t>
      </w:r>
      <w:proofErr w:type="spellEnd"/>
      <w:r>
        <w:t xml:space="preserve"> statistical methods for power and sample size are based in hypothesis testing, typically for a single hypothesis</w:t>
      </w:r>
      <w:r w:rsidR="003A54BE">
        <w:t>,</w:t>
      </w:r>
      <w:r>
        <w:t xml:space="preserve"> and rely on the specification of parameters for specificity (α, statistical standard of evidence) and sensitivity (β, power). Hypothesis testing theory recommends 'full coverage' for tests with β set to 1-α, </w:t>
      </w:r>
      <w:r w:rsidR="007A6F87">
        <w:t>al</w:t>
      </w:r>
      <w:r>
        <w:t xml:space="preserve">though this recommendation is rarely followed in practice even in the context of clinical trials. The specificity </w:t>
      </w:r>
      <w:r w:rsidR="003A54BE">
        <w:t xml:space="preserve">parameter, α, </w:t>
      </w:r>
      <w:r>
        <w:t xml:space="preserve">is </w:t>
      </w:r>
      <w:r w:rsidR="003A54BE">
        <w:t>traditionally</w:t>
      </w:r>
      <w:r>
        <w:t xml:space="preserve"> set to </w:t>
      </w:r>
      <w:r w:rsidR="003A54BE">
        <w:t>0.05 and multiple h</w:t>
      </w:r>
      <w:r w:rsidR="00C9080F">
        <w:t>ypotheses are evaluated using α-</w:t>
      </w:r>
      <w:r w:rsidR="003A54BE">
        <w:t xml:space="preserve">spending: assigning a proportion of the total α to each hypothesis based on the priority given to the test in the statistical design. </w:t>
      </w:r>
      <w:r w:rsidR="00AC3B49">
        <w:t xml:space="preserve"> </w:t>
      </w:r>
      <w:r w:rsidR="003A54BE">
        <w:t xml:space="preserve">An additional parameter, the estimate of the effect size, is </w:t>
      </w:r>
      <w:r w:rsidR="00C9080F">
        <w:t>also required</w:t>
      </w:r>
      <w:r w:rsidR="003A54BE">
        <w:t xml:space="preserve"> for power and sample </w:t>
      </w:r>
      <w:r w:rsidR="007A6F87">
        <w:t>estimation</w:t>
      </w:r>
      <w:r w:rsidR="003A54BE">
        <w:t xml:space="preserve">. A </w:t>
      </w:r>
      <w:r w:rsidR="00C9080F">
        <w:t>basic example</w:t>
      </w:r>
      <w:r w:rsidR="003A54BE">
        <w:t xml:space="preserve"> of effect size is the difference between two group means in standard deviation units and requires estimates of the group means and an estimate of the variance of the d</w:t>
      </w:r>
      <w:r w:rsidR="00C9080F">
        <w:t xml:space="preserve">ifference between the means. </w:t>
      </w:r>
    </w:p>
    <w:p w:rsidR="00C9080F" w:rsidRDefault="00C9080F" w:rsidP="00422E37">
      <w:pPr>
        <w:ind w:firstLine="720"/>
      </w:pPr>
      <w:r>
        <w:t xml:space="preserve">Applying these techniques over a large number of tests with α-spending reduced to an application of </w:t>
      </w:r>
      <w:proofErr w:type="spellStart"/>
      <w:r>
        <w:t>Bonferroni</w:t>
      </w:r>
      <w:proofErr w:type="spellEnd"/>
      <w:r>
        <w:t xml:space="preserve"> methods (dividing 0.05 by the number of tests) results in straightforward calculation of power and sample size estimates. </w:t>
      </w:r>
      <w:r w:rsidRPr="007A6F87">
        <w:rPr>
          <w:u w:val="single"/>
        </w:rPr>
        <w:t>A critical caveat should be noted:</w:t>
      </w:r>
      <w:r>
        <w:t xml:space="preserve"> statistical testing over a large number of tests is typically a hypothesis generating exercise and fundamental assumptions in </w:t>
      </w:r>
      <w:proofErr w:type="spellStart"/>
      <w:r>
        <w:t>frequentist</w:t>
      </w:r>
      <w:proofErr w:type="spellEnd"/>
      <w:r>
        <w:t xml:space="preserve"> hypothesis testing are violated. </w:t>
      </w:r>
    </w:p>
    <w:p w:rsidR="0026253A" w:rsidRDefault="00C9080F" w:rsidP="00E71152">
      <w:pPr>
        <w:pStyle w:val="Heading1"/>
        <w:spacing w:after="120" w:afterAutospacing="0"/>
      </w:pPr>
      <w:r>
        <w:t>Sample size estimates</w:t>
      </w:r>
    </w:p>
    <w:p w:rsidR="00C9080F" w:rsidRDefault="00C9080F" w:rsidP="00422E37">
      <w:pPr>
        <w:ind w:firstLine="720"/>
      </w:pPr>
      <w:r w:rsidRPr="00C9080F">
        <w:t>Disregarding the comp</w:t>
      </w:r>
      <w:r>
        <w:t xml:space="preserve">lexities of exploratory, hypothesis generating experiments and </w:t>
      </w:r>
      <w:r w:rsidR="00FA0DD5">
        <w:t>forging ahead to apply</w:t>
      </w:r>
      <w:r>
        <w:t xml:space="preserve"> </w:t>
      </w:r>
      <w:proofErr w:type="spellStart"/>
      <w:r>
        <w:t>frequentist</w:t>
      </w:r>
      <w:proofErr w:type="spellEnd"/>
      <w:r>
        <w:t xml:space="preserve"> power and sample size </w:t>
      </w:r>
      <w:r w:rsidR="007A6F87">
        <w:t xml:space="preserve">estimation </w:t>
      </w:r>
      <w:r>
        <w:t>methods for</w:t>
      </w:r>
      <w:r w:rsidR="00C80C30">
        <w:t xml:space="preserve"> a basic experiment:</w:t>
      </w:r>
      <w:r>
        <w:t xml:space="preserve"> two </w:t>
      </w:r>
      <w:r w:rsidR="00C80C30">
        <w:t xml:space="preserve">independent </w:t>
      </w:r>
      <w:r>
        <w:t>groups</w:t>
      </w:r>
      <w:r w:rsidR="007A6F87">
        <w:t>,</w:t>
      </w:r>
      <w:r>
        <w:t xml:space="preserve"> </w:t>
      </w:r>
      <w:r w:rsidRPr="007A6F87">
        <w:rPr>
          <w:i/>
        </w:rPr>
        <w:t>x</w:t>
      </w:r>
      <w:r>
        <w:t xml:space="preserve"> and </w:t>
      </w:r>
      <w:r w:rsidRPr="007A6F87">
        <w:rPr>
          <w:i/>
        </w:rPr>
        <w:t>y</w:t>
      </w:r>
      <w:r w:rsidR="007A6F87">
        <w:t>,</w:t>
      </w:r>
      <w:r w:rsidR="00C80C30">
        <w:t xml:space="preserve"> with equal variance</w:t>
      </w:r>
      <w:r w:rsidR="007A6F87">
        <w:t xml:space="preserve"> using frequently calculated parameters. </w:t>
      </w:r>
      <w:r w:rsidR="00C80C30">
        <w:t xml:space="preserve"> </w:t>
      </w:r>
    </w:p>
    <w:p w:rsidR="00AC3B49" w:rsidRDefault="00AC3B49" w:rsidP="00422E37">
      <w:pPr>
        <w:ind w:firstLine="720"/>
      </w:pPr>
    </w:p>
    <w:p w:rsidR="0043240A" w:rsidRDefault="00FF0394" w:rsidP="00422E37">
      <w:r w:rsidRPr="00FF0394">
        <w:rPr>
          <w:b/>
        </w:rPr>
        <w:t xml:space="preserve">Formulation: </w:t>
      </w:r>
      <w:r w:rsidRPr="00FF0394">
        <w:rPr>
          <w:b/>
        </w:rPr>
        <w:tab/>
      </w:r>
      <w:r w:rsidR="00422E37">
        <w:rPr>
          <w:b/>
        </w:rPr>
        <w:tab/>
      </w:r>
      <w:r w:rsidR="00422E37">
        <w:rPr>
          <w:b/>
        </w:rPr>
        <w:tab/>
      </w:r>
      <w:r>
        <w:tab/>
        <w:t xml:space="preserve">         </w:t>
      </w:r>
      <w:r w:rsidR="0043240A">
        <w:t>N per group</w:t>
      </w:r>
      <w:r w:rsidR="00C57319">
        <w:t>:</w:t>
      </w:r>
    </w:p>
    <w:p w:rsidR="0043240A" w:rsidRPr="00D27F81" w:rsidRDefault="0043240A" w:rsidP="0043240A">
      <w:pPr>
        <w:jc w:val="center"/>
      </w:pPr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</m:oMath>
      </m:oMathPara>
    </w:p>
    <w:p w:rsidR="0043240A" w:rsidRDefault="0043240A" w:rsidP="0043240A">
      <w:pPr>
        <w:jc w:val="center"/>
      </w:pPr>
    </w:p>
    <w:p w:rsidR="0043240A" w:rsidRDefault="00FF0394" w:rsidP="00422E37">
      <w:r w:rsidRPr="00FF0394">
        <w:rPr>
          <w:b/>
        </w:rPr>
        <w:t>Assumptions:</w:t>
      </w:r>
      <w:r>
        <w:tab/>
      </w:r>
      <w:r w:rsidR="00422E37">
        <w:tab/>
      </w:r>
      <w:r w:rsidR="00422E37">
        <w:tab/>
      </w:r>
      <w:r>
        <w:tab/>
        <w:t xml:space="preserve">       E</w:t>
      </w:r>
      <w:r w:rsidR="00C57319">
        <w:t>qual variance</w:t>
      </w:r>
      <w:r w:rsidR="0043240A">
        <w:t xml:space="preserve">: </w:t>
      </w:r>
    </w:p>
    <w:p w:rsidR="0043240A" w:rsidRPr="000163EA" w:rsidRDefault="00132779" w:rsidP="0043240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43240A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=V</m:t>
        </m:r>
      </m:oMath>
    </w:p>
    <w:p w:rsidR="0043240A" w:rsidRPr="000163EA" w:rsidRDefault="00132779" w:rsidP="0043240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43240A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=s</m:t>
        </m:r>
        <m:r>
          <w:rPr>
            <w:rFonts w:ascii="Cambria Math" w:hAnsi="Cambria Math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</m:e>
        </m:rad>
      </m:oMath>
    </w:p>
    <w:p w:rsidR="00C57319" w:rsidRDefault="00FF0394" w:rsidP="00C57319">
      <w:pPr>
        <w:jc w:val="center"/>
      </w:pPr>
      <w:r>
        <w:t>I</w:t>
      </w:r>
      <w:r w:rsidR="00C57319">
        <w:t xml:space="preserve">ndependent groups: </w:t>
      </w:r>
    </w:p>
    <w:p w:rsidR="00C57319" w:rsidRPr="000163EA" w:rsidRDefault="00132779" w:rsidP="00C5731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=2V</m:t>
          </m:r>
        </m:oMath>
      </m:oMathPara>
    </w:p>
    <w:p w:rsidR="0043240A" w:rsidRDefault="0043240A" w:rsidP="0043240A">
      <w:pPr>
        <w:jc w:val="center"/>
      </w:pPr>
    </w:p>
    <w:p w:rsidR="0043240A" w:rsidRDefault="00FF0394" w:rsidP="00422E37">
      <w:r w:rsidRPr="00FF0394">
        <w:rPr>
          <w:b/>
        </w:rPr>
        <w:t>Calculate Estimates:</w:t>
      </w:r>
      <w:r>
        <w:tab/>
      </w:r>
      <w:r w:rsidR="007A6F87">
        <w:t xml:space="preserve"> </w:t>
      </w:r>
      <w:r w:rsidR="00422E37">
        <w:tab/>
      </w:r>
      <w:r w:rsidR="00422E37">
        <w:tab/>
      </w:r>
      <w:r w:rsidR="007A6F87">
        <w:t xml:space="preserve">           </w:t>
      </w:r>
      <w:r w:rsidR="00C57319">
        <w:t>Distance</w:t>
      </w:r>
      <w:r w:rsidR="0043240A">
        <w:t>:</w:t>
      </w:r>
    </w:p>
    <w:p w:rsidR="0043240A" w:rsidRPr="000163EA" w:rsidRDefault="00C57319" w:rsidP="0043240A">
      <w:pPr>
        <w:jc w:val="center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den>
          </m:f>
        </m:oMath>
      </m:oMathPara>
    </w:p>
    <w:p w:rsidR="0043240A" w:rsidRDefault="007A6F87" w:rsidP="0043240A">
      <w:pPr>
        <w:jc w:val="center"/>
      </w:pPr>
      <w:r>
        <w:t>C</w:t>
      </w:r>
      <w:r w:rsidR="0043240A">
        <w:t>oefficient of variation</w:t>
      </w:r>
      <w:r w:rsidR="00C57319">
        <w:t xml:space="preserve"> for</w:t>
      </w:r>
      <w:r>
        <w:t xml:space="preserve"> </w:t>
      </w:r>
      <w:r w:rsidR="00C57319" w:rsidRPr="007A6F87">
        <w:rPr>
          <w:i/>
        </w:rPr>
        <w:t>y</w:t>
      </w:r>
      <w:r w:rsidR="0043240A">
        <w:t>:</w:t>
      </w:r>
    </w:p>
    <w:p w:rsidR="0043240A" w:rsidRDefault="00132779" w:rsidP="0043240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den>
          </m:f>
        </m:oMath>
      </m:oMathPara>
    </w:p>
    <w:p w:rsidR="00FF0394" w:rsidRDefault="00FF0394" w:rsidP="0043240A">
      <w:pPr>
        <w:jc w:val="center"/>
      </w:pPr>
    </w:p>
    <w:p w:rsidR="00AC3B49" w:rsidRDefault="00FF0394" w:rsidP="00422E37">
      <w:r w:rsidRPr="00FF0394">
        <w:rPr>
          <w:b/>
        </w:rPr>
        <w:t xml:space="preserve">Secondary Formulation: </w:t>
      </w:r>
      <w:r w:rsidR="00AC3B49">
        <w:rPr>
          <w:b/>
        </w:rPr>
        <w:t xml:space="preserve">             </w:t>
      </w:r>
      <w:r w:rsidR="00C57319">
        <w:t>for calculating sample size with</w:t>
      </w:r>
      <w:r>
        <w:t xml:space="preserve"> common</w:t>
      </w:r>
    </w:p>
    <w:p w:rsidR="00C57319" w:rsidRDefault="00AC3B49" w:rsidP="00AC3B49">
      <w:pPr>
        <w:ind w:left="2880" w:firstLine="720"/>
      </w:pPr>
      <w:r>
        <w:t xml:space="preserve">        </w:t>
      </w:r>
      <w:r w:rsidR="00FF0394">
        <w:t xml:space="preserve"> </w:t>
      </w:r>
      <w:proofErr w:type="gramStart"/>
      <w:r>
        <w:t>a</w:t>
      </w:r>
      <w:r w:rsidR="00FF0394">
        <w:t>ssumptions</w:t>
      </w:r>
      <w:proofErr w:type="gramEnd"/>
      <w:r>
        <w:t xml:space="preserve"> and </w:t>
      </w:r>
      <w:r w:rsidR="00C57319">
        <w:t xml:space="preserve"> parameters:</w:t>
      </w:r>
    </w:p>
    <w:p w:rsidR="00C57319" w:rsidRPr="00D27F81" w:rsidRDefault="00C57319" w:rsidP="00C57319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7A6F87" w:rsidRDefault="007A6F87">
      <w:pPr>
        <w:ind w:left="0"/>
        <w:jc w:val="left"/>
        <w:rPr>
          <w:rFonts w:ascii="Arial" w:eastAsia="Arial Unicode MS" w:hAnsi="Arial" w:cs="Arial"/>
          <w:b/>
          <w:bCs/>
          <w:kern w:val="36"/>
          <w:szCs w:val="48"/>
        </w:rPr>
      </w:pPr>
      <w:r>
        <w:br w:type="page"/>
      </w:r>
    </w:p>
    <w:p w:rsidR="00C57319" w:rsidRDefault="00C57319" w:rsidP="00C57319">
      <w:pPr>
        <w:pStyle w:val="Heading1"/>
        <w:spacing w:after="120" w:afterAutospacing="0"/>
      </w:pPr>
      <w:r>
        <w:lastRenderedPageBreak/>
        <w:t>Suggested Usage</w:t>
      </w:r>
    </w:p>
    <w:p w:rsidR="00C57319" w:rsidRPr="00D27F81" w:rsidRDefault="00C57319" w:rsidP="0043240A">
      <w:pPr>
        <w:jc w:val="center"/>
      </w:pPr>
    </w:p>
    <w:p w:rsidR="0026253A" w:rsidRDefault="0026253A" w:rsidP="0026253A"/>
    <w:p w:rsidR="0026253A" w:rsidRDefault="0026253A" w:rsidP="00E71152">
      <w:pPr>
        <w:pStyle w:val="Heading1"/>
        <w:spacing w:after="120" w:afterAutospacing="0"/>
      </w:pPr>
      <w:r>
        <w:t>References</w:t>
      </w:r>
    </w:p>
    <w:p w:rsidR="0026253A" w:rsidRDefault="0026253A" w:rsidP="0026253A">
      <w:pPr>
        <w:jc w:val="left"/>
      </w:pPr>
      <w:r w:rsidRPr="0026253A">
        <w:rPr>
          <w:b/>
        </w:rPr>
        <w:t>SOP6903</w:t>
      </w:r>
      <w:r w:rsidRPr="0026253A">
        <w:t xml:space="preserve"> </w:t>
      </w:r>
      <w:r>
        <w:tab/>
      </w:r>
      <w:r w:rsidRPr="0026253A">
        <w:t xml:space="preserve">Generation and Release of SOMAscan™ Study Data and Reports </w:t>
      </w:r>
    </w:p>
    <w:p w:rsidR="0026253A" w:rsidRDefault="0026253A" w:rsidP="0026253A">
      <w:pPr>
        <w:jc w:val="left"/>
      </w:pPr>
      <w:r w:rsidRPr="0026253A">
        <w:rPr>
          <w:b/>
        </w:rPr>
        <w:t>SSM-020–Rev 2</w:t>
      </w:r>
      <w:r>
        <w:tab/>
      </w:r>
      <w:r w:rsidRPr="0026253A">
        <w:t>Data Standardization and File Specification Technical Note</w:t>
      </w:r>
    </w:p>
    <w:p w:rsidR="00672E97" w:rsidRDefault="00672E97" w:rsidP="00240705">
      <w:pPr>
        <w:ind w:left="0"/>
        <w:jc w:val="center"/>
        <w:rPr>
          <w:b/>
        </w:rPr>
      </w:pPr>
    </w:p>
    <w:p w:rsidR="00672E97" w:rsidRDefault="00672E97" w:rsidP="00240705">
      <w:pPr>
        <w:ind w:left="0"/>
        <w:jc w:val="center"/>
        <w:rPr>
          <w:b/>
        </w:rPr>
      </w:pPr>
    </w:p>
    <w:p w:rsidR="00294FA2" w:rsidRDefault="00240705" w:rsidP="00240705">
      <w:pPr>
        <w:ind w:left="0"/>
        <w:jc w:val="center"/>
        <w:rPr>
          <w:b/>
        </w:rPr>
      </w:pPr>
      <w:r w:rsidRPr="000A0ABD">
        <w:rPr>
          <w:b/>
        </w:rPr>
        <w:t>Appendix 1</w:t>
      </w:r>
    </w:p>
    <w:p w:rsidR="00240705" w:rsidRDefault="00240705" w:rsidP="00240705">
      <w:pPr>
        <w:ind w:left="0"/>
        <w:jc w:val="center"/>
        <w:rPr>
          <w:b/>
        </w:rPr>
      </w:pPr>
    </w:p>
    <w:p w:rsidR="00240705" w:rsidRDefault="00240705" w:rsidP="00240705">
      <w:pPr>
        <w:ind w:left="0"/>
        <w:jc w:val="center"/>
        <w:rPr>
          <w:b/>
        </w:rPr>
      </w:pPr>
    </w:p>
    <w:p w:rsidR="00240705" w:rsidRDefault="00FF0394" w:rsidP="00240705">
      <w:pPr>
        <w:ind w:left="0"/>
        <w:jc w:val="center"/>
      </w:pPr>
      <w:r>
        <w:rPr>
          <w:noProof/>
        </w:rPr>
        <w:drawing>
          <wp:inline distT="0" distB="0" distL="0" distR="0">
            <wp:extent cx="6309360" cy="4544060"/>
            <wp:effectExtent l="19050" t="0" r="0" b="0"/>
            <wp:docPr id="1" name="Picture 0" descr="SomaLogic Sample Size Technical Note_v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maLogic Sample Size Technical Note_v0.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705" w:rsidSect="00A71610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267" w:right="1440" w:bottom="1080" w:left="864" w:header="288" w:footer="44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20D" w:rsidRDefault="005D520D">
      <w:r>
        <w:separator/>
      </w:r>
    </w:p>
  </w:endnote>
  <w:endnote w:type="continuationSeparator" w:id="0">
    <w:p w:rsidR="005D520D" w:rsidRDefault="005D52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4BE" w:rsidRDefault="001327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A54B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54BE" w:rsidRDefault="003A54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4BE" w:rsidRDefault="003A54BE" w:rsidP="00EF1F6B">
    <w:pPr>
      <w:spacing w:before="36"/>
      <w:ind w:left="0" w:right="-20"/>
      <w:rPr>
        <w:rFonts w:asciiTheme="minorHAnsi" w:eastAsia="Arial" w:hAnsiTheme="minorHAnsi" w:cs="Arial"/>
        <w:color w:val="1A0A53"/>
        <w:sz w:val="20"/>
        <w:szCs w:val="20"/>
      </w:rPr>
    </w:pPr>
  </w:p>
  <w:p w:rsidR="003A54BE" w:rsidRPr="00362E96" w:rsidRDefault="00132779" w:rsidP="0026253A">
    <w:pPr>
      <w:spacing w:before="36"/>
      <w:ind w:left="0" w:right="-20"/>
      <w:rPr>
        <w:rFonts w:asciiTheme="minorHAnsi" w:eastAsia="Arial" w:hAnsiTheme="minorHAnsi" w:cs="Arial"/>
        <w:color w:val="1A0A53"/>
        <w:sz w:val="18"/>
        <w:szCs w:val="18"/>
      </w:rPr>
    </w:pPr>
    <w:r w:rsidRPr="00132779">
      <w:rPr>
        <w:rFonts w:asciiTheme="minorHAnsi" w:eastAsia="Arial" w:hAnsiTheme="minorHAnsi" w:cs="Arial"/>
        <w:noProof/>
        <w:color w:val="1A0A53"/>
        <w:sz w:val="20"/>
        <w:szCs w:val="20"/>
      </w:rPr>
      <w:pict>
        <v:group id="_x0000_s3084" style="position:absolute;left:0;text-align:left;margin-left:23.9pt;margin-top:701.6pt;width:557.1pt;height:16pt;z-index:-251652096;mso-position-horizontal-relative:page;mso-position-vertical-relative:page" coordorigin=",2280" coordsize="11520,320">
          <v:group id="_x0000_s3085" style="position:absolute;top:2360;width:11515;height:160" coordorigin=",2360" coordsize="11515,160">
            <v:shape id="_x0000_s3086" style="position:absolute;top:2360;width:11515;height:160" coordorigin=",2360" coordsize="11515,160" path="m,2360r11515,l11515,2520,,2520,,2360xe" fillcolor="#7a7f7b" stroked="f">
              <v:path arrowok="t"/>
            </v:shape>
          </v:group>
          <v:group id="_x0000_s3087" style="position:absolute;top:2400;width:11520;height:80" coordorigin=",2400" coordsize="11520,80">
            <v:shape id="_x0000_s3088" style="position:absolute;top:2400;width:11520;height:80" coordorigin=",2400" coordsize="11520,80" path="m,2400r11520,l11520,2480,,2480r,-80xe" fillcolor="#2a234d" stroked="f">
              <v:path arrowok="t"/>
            </v:shape>
          </v:group>
          <w10:wrap anchorx="page" anchory="page"/>
        </v:group>
      </w:pict>
    </w:r>
    <w:r w:rsidR="003A54BE" w:rsidRPr="00362E96">
      <w:rPr>
        <w:rFonts w:asciiTheme="minorHAnsi" w:eastAsia="Arial" w:hAnsiTheme="minorHAnsi" w:cs="Arial"/>
        <w:color w:val="1A0A53"/>
        <w:sz w:val="20"/>
        <w:szCs w:val="20"/>
      </w:rPr>
      <w:t>©</w:t>
    </w:r>
    <w:r w:rsidR="003A54BE" w:rsidRPr="00362E96">
      <w:rPr>
        <w:rFonts w:asciiTheme="minorHAnsi" w:eastAsia="Arial" w:hAnsiTheme="minorHAnsi" w:cs="Arial"/>
        <w:color w:val="1A0A53"/>
        <w:spacing w:val="5"/>
        <w:sz w:val="20"/>
        <w:szCs w:val="20"/>
      </w:rPr>
      <w:t xml:space="preserve"> </w:t>
    </w:r>
    <w:r w:rsidR="00C80C30">
      <w:rPr>
        <w:rFonts w:asciiTheme="minorHAnsi" w:eastAsia="Arial" w:hAnsiTheme="minorHAnsi" w:cs="Arial"/>
        <w:color w:val="1A0A53"/>
        <w:sz w:val="20"/>
        <w:szCs w:val="20"/>
      </w:rPr>
      <w:t>2015</w:t>
    </w:r>
    <w:r w:rsidR="003A54BE">
      <w:rPr>
        <w:rFonts w:asciiTheme="minorHAnsi" w:eastAsia="Arial" w:hAnsiTheme="minorHAnsi" w:cs="Arial"/>
        <w:color w:val="1A0A53"/>
        <w:sz w:val="20"/>
        <w:szCs w:val="20"/>
      </w:rPr>
      <w:t xml:space="preserve"> </w:t>
    </w:r>
    <w:r w:rsidR="003A54BE" w:rsidRPr="00362E96">
      <w:rPr>
        <w:rFonts w:asciiTheme="minorHAnsi" w:eastAsia="Arial" w:hAnsiTheme="minorHAnsi" w:cs="Arial"/>
        <w:color w:val="1A0A53"/>
        <w:sz w:val="20"/>
        <w:szCs w:val="20"/>
      </w:rPr>
      <w:sym w:font="Symbol" w:char="F0B7"/>
    </w:r>
    <w:r w:rsidR="003A54BE" w:rsidRPr="00362E96">
      <w:rPr>
        <w:rFonts w:asciiTheme="minorHAnsi" w:eastAsia="Arial" w:hAnsiTheme="minorHAnsi" w:cs="Arial"/>
        <w:color w:val="1A0A53"/>
        <w:sz w:val="20"/>
        <w:szCs w:val="20"/>
      </w:rPr>
      <w:t xml:space="preserve"> </w:t>
    </w:r>
    <w:r w:rsidR="003A54BE" w:rsidRPr="00362E96">
      <w:rPr>
        <w:rFonts w:asciiTheme="minorHAnsi" w:eastAsia="Arial" w:hAnsiTheme="minorHAnsi" w:cs="Arial"/>
        <w:color w:val="1A0A53"/>
        <w:w w:val="97"/>
        <w:sz w:val="20"/>
        <w:szCs w:val="20"/>
      </w:rPr>
      <w:t>SomaLogic,</w:t>
    </w:r>
    <w:r w:rsidR="003A54BE" w:rsidRPr="00362E96">
      <w:rPr>
        <w:rFonts w:asciiTheme="minorHAnsi" w:eastAsia="Arial" w:hAnsiTheme="minorHAnsi" w:cs="Arial"/>
        <w:color w:val="1A0A53"/>
        <w:spacing w:val="4"/>
        <w:w w:val="97"/>
        <w:sz w:val="20"/>
        <w:szCs w:val="20"/>
      </w:rPr>
      <w:t xml:space="preserve"> </w:t>
    </w:r>
    <w:r w:rsidR="003A54BE" w:rsidRPr="00362E96">
      <w:rPr>
        <w:rFonts w:asciiTheme="minorHAnsi" w:eastAsia="Arial" w:hAnsiTheme="minorHAnsi" w:cs="Arial"/>
        <w:color w:val="1A0A53"/>
        <w:sz w:val="20"/>
        <w:szCs w:val="20"/>
      </w:rPr>
      <w:t xml:space="preserve">Inc. </w:t>
    </w:r>
    <w:r w:rsidR="003A54BE">
      <w:rPr>
        <w:rFonts w:asciiTheme="minorHAnsi" w:eastAsia="Arial" w:hAnsiTheme="minorHAnsi" w:cs="Arial"/>
        <w:color w:val="1A0A53"/>
        <w:sz w:val="20"/>
        <w:szCs w:val="20"/>
      </w:rPr>
      <w:tab/>
    </w:r>
    <w:r w:rsidR="003A54BE">
      <w:rPr>
        <w:rFonts w:asciiTheme="minorHAnsi" w:eastAsia="Arial" w:hAnsiTheme="minorHAnsi" w:cs="Arial"/>
        <w:color w:val="1A0A53"/>
        <w:sz w:val="20"/>
        <w:szCs w:val="20"/>
      </w:rPr>
      <w:tab/>
    </w:r>
    <w:r w:rsidR="003A54BE">
      <w:rPr>
        <w:rFonts w:asciiTheme="minorHAnsi" w:eastAsia="Arial" w:hAnsiTheme="minorHAnsi" w:cs="Arial"/>
        <w:color w:val="1A0A53"/>
        <w:sz w:val="20"/>
        <w:szCs w:val="20"/>
      </w:rPr>
      <w:tab/>
    </w:r>
  </w:p>
  <w:p w:rsidR="003A54BE" w:rsidRDefault="00132779" w:rsidP="00795B54">
    <w:pPr>
      <w:pStyle w:val="Footer"/>
      <w:jc w:val="center"/>
    </w:pPr>
    <w:sdt>
      <w:sdtPr>
        <w:id w:val="292814520"/>
        <w:docPartObj>
          <w:docPartGallery w:val="Page Numbers (Bottom of Page)"/>
          <w:docPartUnique/>
        </w:docPartObj>
      </w:sdtPr>
      <w:sdtContent>
        <w:fldSimple w:instr=" PAGE   \* MERGEFORMAT ">
          <w:r w:rsidR="00FA0DD5">
            <w:rPr>
              <w:noProof/>
            </w:rPr>
            <w:t>2</w:t>
          </w:r>
        </w:fldSimple>
      </w:sdtContent>
    </w:sdt>
  </w:p>
  <w:p w:rsidR="003A54BE" w:rsidRDefault="003A54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20D" w:rsidRDefault="005D520D">
      <w:r>
        <w:separator/>
      </w:r>
    </w:p>
  </w:footnote>
  <w:footnote w:type="continuationSeparator" w:id="0">
    <w:p w:rsidR="005D520D" w:rsidRDefault="005D52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4BE" w:rsidRDefault="003A54BE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4BE" w:rsidRPr="0026253A" w:rsidRDefault="003A54BE" w:rsidP="00294FA2">
    <w:pPr>
      <w:pStyle w:val="Header"/>
      <w:ind w:left="5040" w:right="-360"/>
      <w:jc w:val="left"/>
      <w:rPr>
        <w:b/>
        <w:sz w:val="28"/>
        <w:szCs w:val="28"/>
        <w:lang w:val="fr-CA"/>
      </w:rPr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12700</wp:posOffset>
          </wp:positionH>
          <wp:positionV relativeFrom="page">
            <wp:posOffset>63500</wp:posOffset>
          </wp:positionV>
          <wp:extent cx="2519045" cy="635000"/>
          <wp:effectExtent l="1905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9045" cy="635000"/>
                  </a:xfrm>
                  <a:prstGeom prst="rect">
                    <a:avLst/>
                  </a:prstGeom>
                  <a:noFill/>
                  <a:ln w="12700" cap="flat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253A">
      <w:rPr>
        <w:lang w:val="fr-CA"/>
      </w:rPr>
      <w:tab/>
    </w:r>
    <w:r>
      <w:rPr>
        <w:b/>
        <w:sz w:val="28"/>
        <w:szCs w:val="28"/>
        <w:lang w:val="fr-CA"/>
      </w:rPr>
      <w:t>SomaLogic</w:t>
    </w:r>
    <w:r w:rsidRPr="0026253A">
      <w:rPr>
        <w:b/>
        <w:sz w:val="28"/>
        <w:szCs w:val="28"/>
        <w:lang w:val="fr-CA"/>
      </w:rPr>
      <w:t xml:space="preserve"> </w:t>
    </w:r>
    <w:proofErr w:type="spellStart"/>
    <w:r w:rsidRPr="0026253A">
      <w:rPr>
        <w:b/>
        <w:sz w:val="28"/>
        <w:szCs w:val="28"/>
        <w:lang w:val="fr-CA"/>
      </w:rPr>
      <w:t>Sample</w:t>
    </w:r>
    <w:proofErr w:type="spellEnd"/>
    <w:r w:rsidRPr="0026253A">
      <w:rPr>
        <w:b/>
        <w:sz w:val="28"/>
        <w:szCs w:val="28"/>
        <w:lang w:val="fr-CA"/>
      </w:rPr>
      <w:t xml:space="preserve"> </w:t>
    </w:r>
    <w:r>
      <w:rPr>
        <w:b/>
        <w:sz w:val="28"/>
        <w:szCs w:val="28"/>
        <w:lang w:val="fr-CA"/>
      </w:rPr>
      <w:t xml:space="preserve">Size </w:t>
    </w:r>
    <w:proofErr w:type="spellStart"/>
    <w:r>
      <w:rPr>
        <w:b/>
        <w:sz w:val="28"/>
        <w:szCs w:val="28"/>
        <w:lang w:val="fr-CA"/>
      </w:rPr>
      <w:t>Technical</w:t>
    </w:r>
    <w:proofErr w:type="spellEnd"/>
    <w:r>
      <w:rPr>
        <w:b/>
        <w:sz w:val="28"/>
        <w:szCs w:val="28"/>
        <w:lang w:val="fr-CA"/>
      </w:rPr>
      <w:t xml:space="preserve"> Note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A14C5"/>
    <w:multiLevelType w:val="hybridMultilevel"/>
    <w:tmpl w:val="1542E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E6097B"/>
    <w:multiLevelType w:val="hybridMultilevel"/>
    <w:tmpl w:val="6A0A65B4"/>
    <w:lvl w:ilvl="0" w:tplc="F28440C0">
      <w:start w:val="2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973EB"/>
    <w:multiLevelType w:val="hybridMultilevel"/>
    <w:tmpl w:val="0C94D484"/>
    <w:lvl w:ilvl="0" w:tplc="3872C63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2CB3537"/>
    <w:multiLevelType w:val="multilevel"/>
    <w:tmpl w:val="18EA5230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49701438"/>
    <w:multiLevelType w:val="multilevel"/>
    <w:tmpl w:val="A32C4B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64DB6ED0"/>
    <w:multiLevelType w:val="hybridMultilevel"/>
    <w:tmpl w:val="F8B6EF50"/>
    <w:lvl w:ilvl="0" w:tplc="90C671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  <w:lvlOverride w:ilvl="0">
      <w:startOverride w:val="5"/>
    </w:lvlOverride>
  </w:num>
  <w:num w:numId="9">
    <w:abstractNumId w:val="1"/>
    <w:lvlOverride w:ilvl="0">
      <w:startOverride w:val="5"/>
    </w:lvlOverride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1331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7834D4"/>
    <w:rsid w:val="00017787"/>
    <w:rsid w:val="00053E76"/>
    <w:rsid w:val="0006426F"/>
    <w:rsid w:val="00076A41"/>
    <w:rsid w:val="00077594"/>
    <w:rsid w:val="00090D54"/>
    <w:rsid w:val="000A0B09"/>
    <w:rsid w:val="000B3BCB"/>
    <w:rsid w:val="000C4474"/>
    <w:rsid w:val="000C77DD"/>
    <w:rsid w:val="000D3130"/>
    <w:rsid w:val="000E6FE2"/>
    <w:rsid w:val="000F3016"/>
    <w:rsid w:val="00132779"/>
    <w:rsid w:val="00154AF3"/>
    <w:rsid w:val="001775A6"/>
    <w:rsid w:val="001776B0"/>
    <w:rsid w:val="001A2629"/>
    <w:rsid w:val="001D4360"/>
    <w:rsid w:val="001E7CC4"/>
    <w:rsid w:val="002374D0"/>
    <w:rsid w:val="00240705"/>
    <w:rsid w:val="002407A3"/>
    <w:rsid w:val="002473E6"/>
    <w:rsid w:val="0026253A"/>
    <w:rsid w:val="00294FA2"/>
    <w:rsid w:val="002B102A"/>
    <w:rsid w:val="002B7423"/>
    <w:rsid w:val="002D17C0"/>
    <w:rsid w:val="002E1DD3"/>
    <w:rsid w:val="002E68DC"/>
    <w:rsid w:val="0030188A"/>
    <w:rsid w:val="0030418F"/>
    <w:rsid w:val="00313FC8"/>
    <w:rsid w:val="00317B8A"/>
    <w:rsid w:val="003230F6"/>
    <w:rsid w:val="00325B38"/>
    <w:rsid w:val="0034278D"/>
    <w:rsid w:val="00352F7C"/>
    <w:rsid w:val="00360312"/>
    <w:rsid w:val="00362E96"/>
    <w:rsid w:val="00364289"/>
    <w:rsid w:val="003778C4"/>
    <w:rsid w:val="003836AA"/>
    <w:rsid w:val="00397E89"/>
    <w:rsid w:val="003A0A83"/>
    <w:rsid w:val="003A1AE2"/>
    <w:rsid w:val="003A4497"/>
    <w:rsid w:val="003A54BE"/>
    <w:rsid w:val="003E432A"/>
    <w:rsid w:val="003F06BC"/>
    <w:rsid w:val="00400944"/>
    <w:rsid w:val="00407230"/>
    <w:rsid w:val="00417392"/>
    <w:rsid w:val="00422E37"/>
    <w:rsid w:val="0043240A"/>
    <w:rsid w:val="00445FBF"/>
    <w:rsid w:val="00450C65"/>
    <w:rsid w:val="0045404A"/>
    <w:rsid w:val="00463367"/>
    <w:rsid w:val="00470234"/>
    <w:rsid w:val="0047226B"/>
    <w:rsid w:val="00474D55"/>
    <w:rsid w:val="00475F80"/>
    <w:rsid w:val="00496A1D"/>
    <w:rsid w:val="004A74F4"/>
    <w:rsid w:val="004C4706"/>
    <w:rsid w:val="004C511D"/>
    <w:rsid w:val="004D252C"/>
    <w:rsid w:val="004E68D5"/>
    <w:rsid w:val="00502A25"/>
    <w:rsid w:val="00504543"/>
    <w:rsid w:val="00514FED"/>
    <w:rsid w:val="00534CF4"/>
    <w:rsid w:val="00541BBD"/>
    <w:rsid w:val="005441FB"/>
    <w:rsid w:val="00545A86"/>
    <w:rsid w:val="00565CB0"/>
    <w:rsid w:val="00566129"/>
    <w:rsid w:val="005A03CE"/>
    <w:rsid w:val="005B5EE5"/>
    <w:rsid w:val="005C3B08"/>
    <w:rsid w:val="005C595F"/>
    <w:rsid w:val="005D520D"/>
    <w:rsid w:val="005E2C75"/>
    <w:rsid w:val="005E7A72"/>
    <w:rsid w:val="00622C53"/>
    <w:rsid w:val="00631F3F"/>
    <w:rsid w:val="0064723C"/>
    <w:rsid w:val="00652DF9"/>
    <w:rsid w:val="00654363"/>
    <w:rsid w:val="00660633"/>
    <w:rsid w:val="00672E97"/>
    <w:rsid w:val="00672F0A"/>
    <w:rsid w:val="00683018"/>
    <w:rsid w:val="006A7286"/>
    <w:rsid w:val="006B0460"/>
    <w:rsid w:val="006B441C"/>
    <w:rsid w:val="006B5B17"/>
    <w:rsid w:val="006D6460"/>
    <w:rsid w:val="006E2F16"/>
    <w:rsid w:val="006E3C54"/>
    <w:rsid w:val="00715C31"/>
    <w:rsid w:val="00743429"/>
    <w:rsid w:val="00746109"/>
    <w:rsid w:val="00761E7F"/>
    <w:rsid w:val="00765593"/>
    <w:rsid w:val="00773DE0"/>
    <w:rsid w:val="007834D4"/>
    <w:rsid w:val="0079461D"/>
    <w:rsid w:val="00795B54"/>
    <w:rsid w:val="007A2365"/>
    <w:rsid w:val="007A4330"/>
    <w:rsid w:val="007A6F87"/>
    <w:rsid w:val="007B53C6"/>
    <w:rsid w:val="007B6C33"/>
    <w:rsid w:val="007B6E8D"/>
    <w:rsid w:val="007D0B76"/>
    <w:rsid w:val="00802696"/>
    <w:rsid w:val="00805964"/>
    <w:rsid w:val="0082332F"/>
    <w:rsid w:val="00831696"/>
    <w:rsid w:val="00835C8D"/>
    <w:rsid w:val="00840576"/>
    <w:rsid w:val="00843F06"/>
    <w:rsid w:val="008446D0"/>
    <w:rsid w:val="00853E62"/>
    <w:rsid w:val="00863057"/>
    <w:rsid w:val="00877D50"/>
    <w:rsid w:val="0089219F"/>
    <w:rsid w:val="008976D6"/>
    <w:rsid w:val="008A00B0"/>
    <w:rsid w:val="008A11E4"/>
    <w:rsid w:val="008A2D22"/>
    <w:rsid w:val="008B3FBE"/>
    <w:rsid w:val="008C25B8"/>
    <w:rsid w:val="008C27F3"/>
    <w:rsid w:val="008D3365"/>
    <w:rsid w:val="008E78BF"/>
    <w:rsid w:val="009437E1"/>
    <w:rsid w:val="00992C4A"/>
    <w:rsid w:val="009A2391"/>
    <w:rsid w:val="009B7261"/>
    <w:rsid w:val="009D362D"/>
    <w:rsid w:val="009E220A"/>
    <w:rsid w:val="009E6B8B"/>
    <w:rsid w:val="00A1325A"/>
    <w:rsid w:val="00A20F9F"/>
    <w:rsid w:val="00A256CF"/>
    <w:rsid w:val="00A3559E"/>
    <w:rsid w:val="00A36D01"/>
    <w:rsid w:val="00A43684"/>
    <w:rsid w:val="00A71610"/>
    <w:rsid w:val="00A74B7D"/>
    <w:rsid w:val="00A77008"/>
    <w:rsid w:val="00AA703E"/>
    <w:rsid w:val="00AA7B2E"/>
    <w:rsid w:val="00AC3B49"/>
    <w:rsid w:val="00AC6618"/>
    <w:rsid w:val="00AC6800"/>
    <w:rsid w:val="00AC6CAA"/>
    <w:rsid w:val="00AC7E2F"/>
    <w:rsid w:val="00AF6321"/>
    <w:rsid w:val="00B06563"/>
    <w:rsid w:val="00B0755A"/>
    <w:rsid w:val="00B4222F"/>
    <w:rsid w:val="00B517D6"/>
    <w:rsid w:val="00B70780"/>
    <w:rsid w:val="00B80759"/>
    <w:rsid w:val="00B879A0"/>
    <w:rsid w:val="00BB54DC"/>
    <w:rsid w:val="00BB77BA"/>
    <w:rsid w:val="00BC0227"/>
    <w:rsid w:val="00BD3A2A"/>
    <w:rsid w:val="00BD5932"/>
    <w:rsid w:val="00C10B5B"/>
    <w:rsid w:val="00C21D34"/>
    <w:rsid w:val="00C23387"/>
    <w:rsid w:val="00C260FE"/>
    <w:rsid w:val="00C37766"/>
    <w:rsid w:val="00C57319"/>
    <w:rsid w:val="00C6007B"/>
    <w:rsid w:val="00C66827"/>
    <w:rsid w:val="00C80C30"/>
    <w:rsid w:val="00C86D89"/>
    <w:rsid w:val="00C9080F"/>
    <w:rsid w:val="00C942DA"/>
    <w:rsid w:val="00CB6CA8"/>
    <w:rsid w:val="00CE17F0"/>
    <w:rsid w:val="00D16DFC"/>
    <w:rsid w:val="00D25D38"/>
    <w:rsid w:val="00D279C6"/>
    <w:rsid w:val="00D47043"/>
    <w:rsid w:val="00D51420"/>
    <w:rsid w:val="00D60C66"/>
    <w:rsid w:val="00D71322"/>
    <w:rsid w:val="00D76802"/>
    <w:rsid w:val="00D76C36"/>
    <w:rsid w:val="00D811C1"/>
    <w:rsid w:val="00D84FFB"/>
    <w:rsid w:val="00D879F8"/>
    <w:rsid w:val="00D9140B"/>
    <w:rsid w:val="00D94354"/>
    <w:rsid w:val="00D95C31"/>
    <w:rsid w:val="00DB2CB3"/>
    <w:rsid w:val="00DC6ACD"/>
    <w:rsid w:val="00DE6081"/>
    <w:rsid w:val="00DE7677"/>
    <w:rsid w:val="00E050CA"/>
    <w:rsid w:val="00E13F2E"/>
    <w:rsid w:val="00E16A69"/>
    <w:rsid w:val="00E71152"/>
    <w:rsid w:val="00E85B0A"/>
    <w:rsid w:val="00E8689D"/>
    <w:rsid w:val="00E912A3"/>
    <w:rsid w:val="00EA3874"/>
    <w:rsid w:val="00EC375A"/>
    <w:rsid w:val="00EC5FA2"/>
    <w:rsid w:val="00EE21C3"/>
    <w:rsid w:val="00EF1F6B"/>
    <w:rsid w:val="00EF40FF"/>
    <w:rsid w:val="00F234E4"/>
    <w:rsid w:val="00F23A4A"/>
    <w:rsid w:val="00F24E38"/>
    <w:rsid w:val="00F26FBD"/>
    <w:rsid w:val="00F301A7"/>
    <w:rsid w:val="00F50578"/>
    <w:rsid w:val="00F61054"/>
    <w:rsid w:val="00F726F9"/>
    <w:rsid w:val="00F76507"/>
    <w:rsid w:val="00F90C0A"/>
    <w:rsid w:val="00F92776"/>
    <w:rsid w:val="00F932E9"/>
    <w:rsid w:val="00F95147"/>
    <w:rsid w:val="00F95E62"/>
    <w:rsid w:val="00FA0DD5"/>
    <w:rsid w:val="00FB1643"/>
    <w:rsid w:val="00FE70A2"/>
    <w:rsid w:val="00FF0394"/>
    <w:rsid w:val="00FF2581"/>
    <w:rsid w:val="00FF43DA"/>
    <w:rsid w:val="00FF4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4B39"/>
    <w:pPr>
      <w:ind w:left="720"/>
      <w:jc w:val="both"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qFormat/>
    <w:rsid w:val="00422E37"/>
    <w:pPr>
      <w:numPr>
        <w:numId w:val="4"/>
      </w:numPr>
      <w:spacing w:beforeAutospacing="1" w:afterAutospacing="1"/>
      <w:outlineLvl w:val="0"/>
    </w:pPr>
    <w:rPr>
      <w:rFonts w:ascii="Arial" w:eastAsia="Arial Unicode MS" w:hAnsi="Arial" w:cs="Arial"/>
      <w:b/>
      <w:bCs/>
      <w:kern w:val="36"/>
      <w:szCs w:val="48"/>
    </w:rPr>
  </w:style>
  <w:style w:type="paragraph" w:styleId="Heading2">
    <w:name w:val="heading 2"/>
    <w:basedOn w:val="Normal"/>
    <w:next w:val="Normal"/>
    <w:qFormat/>
    <w:rsid w:val="00773DE0"/>
    <w:pPr>
      <w:keepNext/>
      <w:numPr>
        <w:numId w:val="7"/>
      </w:numPr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8E78BF"/>
    <w:pPr>
      <w:keepNext/>
      <w:spacing w:before="240" w:after="60"/>
      <w:outlineLvl w:val="2"/>
    </w:pPr>
    <w:rPr>
      <w:rFonts w:ascii="Arial" w:hAnsi="Arial" w:cs="Arial"/>
      <w:bCs/>
      <w:szCs w:val="26"/>
    </w:rPr>
  </w:style>
  <w:style w:type="paragraph" w:styleId="Heading4">
    <w:name w:val="heading 4"/>
    <w:basedOn w:val="Normal"/>
    <w:next w:val="Normal"/>
    <w:qFormat/>
    <w:rsid w:val="0030418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E78BF"/>
    <w:rPr>
      <w:color w:val="0000FF"/>
      <w:u w:val="single"/>
    </w:rPr>
  </w:style>
  <w:style w:type="character" w:styleId="Strong">
    <w:name w:val="Strong"/>
    <w:basedOn w:val="DefaultParagraphFont"/>
    <w:qFormat/>
    <w:rsid w:val="008E78BF"/>
    <w:rPr>
      <w:b/>
      <w:bCs/>
    </w:rPr>
  </w:style>
  <w:style w:type="paragraph" w:styleId="BodyText">
    <w:name w:val="Body Text"/>
    <w:basedOn w:val="Normal"/>
    <w:rsid w:val="008E78BF"/>
  </w:style>
  <w:style w:type="paragraph" w:styleId="Footer">
    <w:name w:val="footer"/>
    <w:basedOn w:val="Normal"/>
    <w:link w:val="FooterChar"/>
    <w:uiPriority w:val="99"/>
    <w:rsid w:val="008E78B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78BF"/>
  </w:style>
  <w:style w:type="paragraph" w:styleId="Header">
    <w:name w:val="header"/>
    <w:basedOn w:val="Normal"/>
    <w:rsid w:val="008E78BF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8E78BF"/>
    <w:rPr>
      <w:rFonts w:ascii="Arial" w:hAnsi="Arial" w:cs="Arial"/>
      <w:sz w:val="20"/>
    </w:rPr>
  </w:style>
  <w:style w:type="paragraph" w:styleId="BodyTextIndent">
    <w:name w:val="Body Text Indent"/>
    <w:basedOn w:val="Normal"/>
    <w:rsid w:val="008E78BF"/>
    <w:pPr>
      <w:ind w:firstLine="720"/>
    </w:pPr>
    <w:rPr>
      <w:rFonts w:ascii="Arial" w:hAnsi="Arial" w:cs="Arial"/>
      <w:sz w:val="20"/>
    </w:rPr>
  </w:style>
  <w:style w:type="paragraph" w:styleId="BodyTextIndent2">
    <w:name w:val="Body Text Indent 2"/>
    <w:basedOn w:val="Normal"/>
    <w:rsid w:val="008E78BF"/>
    <w:pPr>
      <w:ind w:left="360"/>
    </w:pPr>
    <w:rPr>
      <w:rFonts w:ascii="Arial" w:hAnsi="Arial" w:cs="Arial"/>
    </w:rPr>
  </w:style>
  <w:style w:type="paragraph" w:styleId="BodyTextIndent3">
    <w:name w:val="Body Text Indent 3"/>
    <w:basedOn w:val="Normal"/>
    <w:rsid w:val="008E78BF"/>
    <w:pPr>
      <w:ind w:left="360"/>
    </w:pPr>
    <w:rPr>
      <w:rFonts w:ascii="Arial" w:hAnsi="Arial" w:cs="Arial"/>
      <w:sz w:val="20"/>
    </w:rPr>
  </w:style>
  <w:style w:type="character" w:styleId="CommentReference">
    <w:name w:val="annotation reference"/>
    <w:basedOn w:val="DefaultParagraphFont"/>
    <w:semiHidden/>
    <w:rsid w:val="00445FBF"/>
    <w:rPr>
      <w:sz w:val="16"/>
      <w:szCs w:val="16"/>
    </w:rPr>
  </w:style>
  <w:style w:type="paragraph" w:customStyle="1" w:styleId="DZBodyText">
    <w:name w:val="DZ Body Text"/>
    <w:basedOn w:val="BodyText2"/>
    <w:qFormat/>
    <w:rsid w:val="00445FBF"/>
  </w:style>
  <w:style w:type="paragraph" w:styleId="BalloonText">
    <w:name w:val="Balloon Text"/>
    <w:basedOn w:val="Normal"/>
    <w:link w:val="BalloonTextChar"/>
    <w:rsid w:val="00C8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D89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090D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90D54"/>
  </w:style>
  <w:style w:type="paragraph" w:styleId="CommentSubject">
    <w:name w:val="annotation subject"/>
    <w:basedOn w:val="CommentText"/>
    <w:next w:val="CommentText"/>
    <w:link w:val="CommentSubjectChar"/>
    <w:rsid w:val="00090D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90D54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95B54"/>
    <w:rPr>
      <w:rFonts w:ascii="Calibri" w:hAnsi="Calibri"/>
      <w:sz w:val="22"/>
      <w:szCs w:val="24"/>
    </w:rPr>
  </w:style>
  <w:style w:type="table" w:styleId="TableGrid">
    <w:name w:val="Table Grid"/>
    <w:basedOn w:val="TableNormal"/>
    <w:rsid w:val="00294F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2A25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4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SomaLogic Inc.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jheilig</dc:creator>
  <cp:lastModifiedBy>Darryl Perry</cp:lastModifiedBy>
  <cp:revision>13</cp:revision>
  <cp:lastPrinted>2013-10-17T17:02:00Z</cp:lastPrinted>
  <dcterms:created xsi:type="dcterms:W3CDTF">2015-03-13T19:54:00Z</dcterms:created>
  <dcterms:modified xsi:type="dcterms:W3CDTF">2015-05-01T19:45:00Z</dcterms:modified>
</cp:coreProperties>
</file>