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1F3A5F" w:color="auto" w:val="clear"/>
            <w:tcMar>
              <w:top w:type="dxa" w:w="80"/>
              <w:left w:type="dxa" w:w="160"/>
              <w:bottom w:type="dxa" w:w="80"/>
              <w:right w:type="dxa" w:w="160"/>
            </w:tcMar>
          </w:tcPr>
          <w:p>
            <w:pPr>
              <w:spacing w:after="20" w:before="60"/>
            </w:pPr>
            <w:r>
              <w:rPr>
                <w:b/>
                <w:bCs/>
                <w:color w:val="FFFFFF"/>
                <w:sz w:val="30"/>
                <w:szCs w:val="30"/>
              </w:rPr>
              <w:t xml:space="preserve">Version Decision — SQL Server 2022 vs 2025</w:t>
            </w:r>
          </w:p>
          <w:p>
            <w:pPr>
              <w:spacing w:after="60"/>
            </w:pPr>
            <w:r>
              <w:rPr>
                <w:i/>
                <w:iCs/>
                <w:color w:val="DCE4EF"/>
                <w:sz w:val="18"/>
                <w:szCs w:val="18"/>
              </w:rPr>
              <w:t xml:space="preserve">Air-Gapped SQL Server Modernisation  ·  10-VM Always On Availability Group estate</w:t>
            </w:r>
          </w:p>
        </w:tc>
      </w:tr>
    </w:tbl>
    <w:p>
      <w:pPr>
        <w:spacing w:after="60"/>
      </w:pPr>
    </w:p>
    <w:tbl>
      <w:tblPr>
        <w:tblW w:type="dxa" w:w="10080"/>
        <w:tblBorders>
          <w:top w:val="single" w:color="C8901A" w:sz="4"/>
          <w:left w:val="single" w:color="C8901A" w:sz="18"/>
          <w:bottom w:val="single" w:color="C8901A" w:sz="4"/>
          <w:right w:val="single" w:color="C8901A" w:sz="4"/>
          <w:insideH w:val="none" w:color="FFFFFF" w:sz="0"/>
          <w:insideV w:val="none" w:color="FFFFFF" w:sz="0"/>
        </w:tblBorders>
      </w:tblPr>
      <w:tblGrid>
        <w:gridCol w:w="10080"/>
      </w:tblGrid>
      <w:tr>
        <w:trPr>
          <w:cantSplit/>
        </w:trPr>
        <w:tc>
          <w:tcPr>
            <w:tcW w:type="dxa" w:w="10080"/>
            <w:shd w:fill="FDF0D0" w:color="auto" w:val="clear"/>
            <w:tcMar>
              <w:top w:type="dxa" w:w="120"/>
              <w:left w:type="dxa" w:w="200"/>
              <w:bottom w:type="dxa" w:w="120"/>
              <w:right w:type="dxa" w:w="200"/>
            </w:tcMar>
          </w:tcPr>
          <w:p>
            <w:pPr>
              <w:spacing w:after="40"/>
            </w:pPr>
            <w:r>
              <w:rPr>
                <w:b/>
                <w:bCs/>
                <w:caps/>
                <w:color w:val="C8901A"/>
                <w:sz w:val="20"/>
                <w:szCs w:val="20"/>
              </w:rPr>
              <w:t xml:space="preserve">Decision</w:t>
            </w:r>
          </w:p>
          <w:p>
            <w:r>
              <w:rPr>
                <w:b/>
                <w:bCs/>
                <w:color w:val="1A1A1A"/>
                <w:sz w:val="21"/>
                <w:szCs w:val="21"/>
              </w:rPr>
              <w:t xml:space="preserve">Proceed with SQL Server 2022 for this migration. </w:t>
            </w:r>
            <w:r>
              <w:rPr>
                <w:color w:val="1A1A1A"/>
                <w:sz w:val="21"/>
                <w:szCs w:val="21"/>
              </w:rPr>
              <w:t xml:space="preserve">SQL Server 2025 reached general availability on 18 November 2025. Its vector and RAG capabilities can run fully offline, but the functions you would adopt it for are still preview at RTM and require standing up a local model-serving stack inside the air-gap. Against a hard SQL Server 2016 end-of-support deadline, with a runbook and toolchain already validated for 2022, adopting a first-year .0 release — and depending on preview features — for a mission-critical AG estate is the wrong risk to take right now.</w:t>
            </w:r>
          </w:p>
        </w:tc>
      </w:tr>
    </w:tbl>
    <w:p>
      <w:pPr>
        <w:pBdr>
          <w:bottom w:val="single" w:color="C7CDD6" w:sz="6" w:space="4"/>
        </w:pBdr>
        <w:spacing w:after="80" w:before="168"/>
      </w:pPr>
      <w:r>
        <w:rPr>
          <w:b/>
          <w:bCs/>
          <w:color w:val="1F3A5F"/>
          <w:sz w:val="22"/>
          <w:szCs w:val="22"/>
        </w:rPr>
        <w:t xml:space="preserve">Why not 2025 for this migration</w:t>
      </w:r>
    </w:p>
    <w:p>
      <w:pPr>
        <w:pStyle w:val="ListParagraph"/>
        <w:numPr>
          <w:ilvl w:val="0"/>
          <w:numId w:val="2"/>
        </w:numPr>
        <w:spacing w:after="60" w:line="258"/>
      </w:pPr>
      <w:r>
        <w:rPr>
          <w:b/>
          <w:bCs/>
          <w:color w:val="1A1A1A"/>
          <w:sz w:val="20"/>
          <w:szCs w:val="20"/>
        </w:rPr>
        <w:t xml:space="preserve">Air-gap-viable, but at a cost. </w:t>
      </w:r>
      <w:r>
        <w:rPr>
          <w:color w:val="1A1A1A"/>
          <w:sz w:val="20"/>
          <w:szCs w:val="20"/>
        </w:rPr>
        <w:t xml:space="preserve">Correcting an earlier overstatement: vector search and RAG can run fully offline — the VECTOR type, VECTOR_DISTANCE and DiskANN index are in-engine, and AI_GENERATE_EMBEDDINGS can target a locally-hosted model (Ollama, vLLM, NVIDIA NIM, or ONNX) with no egress. The costs are that VECTOR_SEARCH, CREATE VECTOR INDEX and AI_GENERATE_EMBEDDINGS are still preview at RTM (PREVIEW_FEATURES = ON), and using them means standing up and maintaining a local inference stack plus an HTTPS proxy inside the air-gap. Fabric Mirroring and Entra ID managed identities do remain genuinely cloud-dependent.</w:t>
      </w:r>
    </w:p>
    <w:p>
      <w:pPr>
        <w:pStyle w:val="ListParagraph"/>
        <w:numPr>
          <w:ilvl w:val="0"/>
          <w:numId w:val="2"/>
        </w:numPr>
        <w:spacing w:after="60" w:line="258"/>
      </w:pPr>
      <w:r>
        <w:rPr>
          <w:b/>
          <w:bCs/>
          <w:color w:val="1A1A1A"/>
          <w:sz w:val="20"/>
          <w:szCs w:val="20"/>
        </w:rPr>
        <w:t xml:space="preserve">First-year release risk. </w:t>
      </w:r>
      <w:r>
        <w:rPr>
          <w:color w:val="1A1A1A"/>
          <w:sz w:val="20"/>
          <w:szCs w:val="20"/>
        </w:rPr>
        <w:t xml:space="preserve">A brand-new .0 release carries patch-maturity and known-issue exposure that does not belong stacked on top of a complex 10-VM Always On cutover — especially where hotfixes cannot simply be pulled down on demand.</w:t>
      </w:r>
    </w:p>
    <w:p>
      <w:pPr>
        <w:pStyle w:val="ListParagraph"/>
        <w:numPr>
          <w:ilvl w:val="0"/>
          <w:numId w:val="2"/>
        </w:numPr>
        <w:spacing w:after="60" w:line="258"/>
      </w:pPr>
      <w:r>
        <w:rPr>
          <w:b/>
          <w:bCs/>
          <w:color w:val="1A1A1A"/>
          <w:sz w:val="20"/>
          <w:szCs w:val="20"/>
        </w:rPr>
        <w:t xml:space="preserve">A longer compatibility-level jump (130 → 160 → 170). </w:t>
      </w:r>
      <w:r>
        <w:rPr>
          <w:color w:val="1A1A1A"/>
          <w:sz w:val="20"/>
          <w:szCs w:val="20"/>
        </w:rPr>
        <w:t xml:space="preserve">A database's compatibility level fixes which query-optimizer and cardinality-estimation behaviour it runs under. The 2016 source databases sit at level 130; SQL Server 2022 tops out at 160; SQL Server 2025 introduces 170. Raising the level changes how the optimizer builds plans, so it can trigger query-plan regressions — queries that ran fine suddenly getting worse plans — which is exactly why the plan is a staged 130 → 160 bump validated through Query Store. Targeting 2025 stretches that to 130 → 160 → 170, adding another regression-testing gate against a level-170 optimizer that has far less field history of known regressions than 160.</w:t>
      </w:r>
    </w:p>
    <w:p>
      <w:pPr>
        <w:pStyle w:val="ListParagraph"/>
        <w:numPr>
          <w:ilvl w:val="0"/>
          <w:numId w:val="2"/>
        </w:numPr>
        <w:spacing w:after="60" w:line="258"/>
      </w:pPr>
      <w:r>
        <w:rPr>
          <w:b/>
          <w:bCs/>
          <w:color w:val="1A1A1A"/>
          <w:sz w:val="20"/>
          <w:szCs w:val="20"/>
        </w:rPr>
        <w:t xml:space="preserve">New-OS + new-SQL compounding. </w:t>
      </w:r>
      <w:r>
        <w:rPr>
          <w:color w:val="1A1A1A"/>
          <w:sz w:val="20"/>
          <w:szCs w:val="20"/>
        </w:rPr>
        <w:t xml:space="preserve">Targets are already moving to Windows Server 2025. Pairing that with a first-year SQL release doubles the unproven-together surface area.</w:t>
      </w:r>
    </w:p>
    <w:p>
      <w:pPr>
        <w:pBdr>
          <w:bottom w:val="single" w:color="C7CDD6" w:sz="6" w:space="4"/>
        </w:pBdr>
        <w:spacing w:after="80" w:before="168"/>
      </w:pPr>
      <w:r>
        <w:rPr>
          <w:b/>
          <w:bCs/>
          <w:color w:val="1F3A5F"/>
          <w:sz w:val="22"/>
          <w:szCs w:val="22"/>
        </w:rPr>
        <w:t xml:space="preserve">What 2025 would genuinely buy (for fairness)</w:t>
      </w:r>
    </w:p>
    <w:p>
      <w:pPr>
        <w:spacing w:after="90" w:line="264"/>
      </w:pPr>
      <w:r>
        <w:rPr>
          <w:color w:val="1A1A1A"/>
          <w:sz w:val="20"/>
          <w:szCs w:val="20"/>
        </w:rPr>
        <w:t xml:space="preserve">Not everything in 2025 is cloud-only. The following engine-level gains apply on-premises regardless of connectivity and are worth noting for a future cycle:</w:t>
      </w:r>
    </w:p>
    <w:p>
      <w:pPr>
        <w:pStyle w:val="ListParagraph"/>
        <w:numPr>
          <w:ilvl w:val="0"/>
          <w:numId w:val="2"/>
        </w:numPr>
        <w:spacing w:after="60" w:line="258"/>
      </w:pPr>
      <w:r>
        <w:rPr>
          <w:color w:val="1A1A1A"/>
          <w:sz w:val="20"/>
          <w:szCs w:val="20"/>
        </w:rPr>
        <w:t xml:space="preserve">Non-copy-only full and differential backups from a secondary replica — 2022 already offloads copy-only full and log backups; 2025 removes the copy-only/no-differential restriction so the whole backup chain can move off the primary.</w:t>
      </w:r>
    </w:p>
    <w:p>
      <w:pPr>
        <w:pStyle w:val="ListParagraph"/>
        <w:numPr>
          <w:ilvl w:val="0"/>
          <w:numId w:val="2"/>
        </w:numPr>
        <w:spacing w:after="60" w:line="258"/>
      </w:pPr>
      <w:r>
        <w:rPr>
          <w:color w:val="1A1A1A"/>
          <w:sz w:val="20"/>
          <w:szCs w:val="20"/>
        </w:rPr>
        <w:t xml:space="preserve">ZSTD backup compression — better ratios and smaller footprint than the legacy algorithm.</w:t>
      </w:r>
    </w:p>
    <w:p>
      <w:pPr>
        <w:pStyle w:val="ListParagraph"/>
        <w:numPr>
          <w:ilvl w:val="0"/>
          <w:numId w:val="2"/>
        </w:numPr>
        <w:spacing w:after="60" w:line="258"/>
      </w:pPr>
      <w:r>
        <w:rPr>
          <w:color w:val="1A1A1A"/>
          <w:sz w:val="20"/>
          <w:szCs w:val="20"/>
        </w:rPr>
        <w:t xml:space="preserve">Faster AG failover and diagnostics; more consistent readable-secondary query performance; tempdb improvements.</w:t>
      </w:r>
    </w:p>
    <w:p>
      <w:pPr>
        <w:pStyle w:val="ListParagraph"/>
        <w:numPr>
          <w:ilvl w:val="0"/>
          <w:numId w:val="2"/>
        </w:numPr>
        <w:spacing w:after="60" w:line="258"/>
      </w:pPr>
      <w:r>
        <w:rPr>
          <w:color w:val="1A1A1A"/>
          <w:sz w:val="20"/>
          <w:szCs w:val="20"/>
        </w:rPr>
        <w:t xml:space="preserve">Standard edition limits raised to 32 cores / 256 GB, with Resource Governor now available in Standard.</w:t>
      </w: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1F3A5F" w:color="auto" w:val="clear"/>
            <w:tcMar>
              <w:top w:type="dxa" w:w="80"/>
              <w:left w:type="dxa" w:w="160"/>
              <w:bottom w:type="dxa" w:w="80"/>
              <w:right w:type="dxa" w:w="160"/>
            </w:tcMar>
          </w:tcPr>
          <w:p>
            <w:pPr>
              <w:spacing w:after="60" w:before="60"/>
            </w:pPr>
            <w:r>
              <w:rPr>
                <w:b/>
                <w:bCs/>
                <w:color w:val="FFFFFF"/>
                <w:sz w:val="30"/>
                <w:szCs w:val="30"/>
              </w:rPr>
              <w:t xml:space="preserve">Version Decision — comparison &amp; revisit criteria</w:t>
            </w:r>
          </w:p>
        </w:tc>
      </w:tr>
    </w:tbl>
    <w:p>
      <w:pPr>
        <w:spacing w:after="100"/>
      </w:pPr>
    </w:p>
    <w:tbl>
      <w:tblPr>
        <w:tblW w:type="dxa" w:w="10080"/>
        <w:tblBorders>
          <w:top w:val="single" w:color="C7CDD6" w:sz="2"/>
          <w:left w:val="single" w:color="C7CDD6" w:sz="2"/>
          <w:bottom w:val="single" w:color="C7CDD6" w:sz="2"/>
          <w:right w:val="single" w:color="C7CDD6" w:sz="2"/>
          <w:insideH w:val="single" w:color="C7CDD6" w:sz="2"/>
          <w:insideV w:val="single" w:color="C7CDD6" w:sz="2"/>
        </w:tblBorders>
      </w:tblPr>
      <w:tblGrid>
        <w:gridCol w:w="2760"/>
        <w:gridCol w:w="3660"/>
        <w:gridCol w:w="3660"/>
      </w:tblGrid>
      <w:tr>
        <w:trPr>
          <w:tblHeader/>
        </w:trPr>
        <w:tc>
          <w:tcPr>
            <w:tcW w:type="dxa" w:w="2760"/>
            <w:shd w:fill="2E5077" w:color="auto" w:val="clear"/>
            <w:tcMar>
              <w:top w:type="dxa" w:w="70"/>
              <w:left w:type="dxa" w:w="120"/>
              <w:bottom w:type="dxa" w:w="70"/>
              <w:right w:type="dxa" w:w="120"/>
            </w:tcMar>
          </w:tcPr>
          <w:p>
            <w:pPr>
              <w:jc w:val="left"/>
            </w:pPr>
            <w:r>
              <w:rPr>
                <w:b/>
                <w:bCs/>
                <w:color w:val="FFFFFF"/>
                <w:sz w:val="19"/>
                <w:szCs w:val="19"/>
              </w:rPr>
              <w:t xml:space="preserve">Consideration</w:t>
            </w:r>
          </w:p>
        </w:tc>
        <w:tc>
          <w:tcPr>
            <w:tcW w:type="dxa" w:w="3660"/>
            <w:shd w:fill="2E5077" w:color="auto" w:val="clear"/>
            <w:tcMar>
              <w:top w:type="dxa" w:w="70"/>
              <w:left w:type="dxa" w:w="120"/>
              <w:bottom w:type="dxa" w:w="70"/>
              <w:right w:type="dxa" w:w="120"/>
            </w:tcMar>
          </w:tcPr>
          <w:p>
            <w:pPr>
              <w:jc w:val="left"/>
            </w:pPr>
            <w:r>
              <w:rPr>
                <w:b/>
                <w:bCs/>
                <w:color w:val="FFFFFF"/>
                <w:sz w:val="19"/>
                <w:szCs w:val="19"/>
              </w:rPr>
              <w:t xml:space="preserve">SQL Server 2022  (chosen)</w:t>
            </w:r>
          </w:p>
        </w:tc>
        <w:tc>
          <w:tcPr>
            <w:tcW w:type="dxa" w:w="3660"/>
            <w:shd w:fill="2E5077" w:color="auto" w:val="clear"/>
            <w:tcMar>
              <w:top w:type="dxa" w:w="70"/>
              <w:left w:type="dxa" w:w="120"/>
              <w:bottom w:type="dxa" w:w="70"/>
              <w:right w:type="dxa" w:w="120"/>
            </w:tcMar>
          </w:tcPr>
          <w:p>
            <w:pPr>
              <w:jc w:val="left"/>
            </w:pPr>
            <w:r>
              <w:rPr>
                <w:b/>
                <w:bCs/>
                <w:color w:val="FFFFFF"/>
                <w:sz w:val="19"/>
                <w:szCs w:val="19"/>
              </w:rPr>
              <w:t xml:space="preserve">SQL Server 2025</w:t>
            </w:r>
          </w:p>
        </w:tc>
      </w:tr>
      <w:tr>
        <w:tc>
          <w:tcPr>
            <w:tcW w:type="dxa" w:w="2760"/>
            <w:tcMar>
              <w:top w:type="dxa" w:w="70"/>
              <w:left w:type="dxa" w:w="120"/>
              <w:bottom w:type="dxa" w:w="70"/>
              <w:right w:type="dxa" w:w="120"/>
            </w:tcMar>
          </w:tcPr>
          <w:p>
            <w:pPr>
              <w:jc w:val="left"/>
            </w:pPr>
            <w:r>
              <w:rPr>
                <w:b/>
                <w:bCs/>
                <w:color w:val="1A1A1A"/>
                <w:sz w:val="19"/>
                <w:szCs w:val="19"/>
              </w:rPr>
              <w:t xml:space="preserve">Release maturity</w:t>
            </w:r>
          </w:p>
        </w:tc>
        <w:tc>
          <w:tcPr>
            <w:tcW w:type="dxa" w:w="3660"/>
            <w:tcMar>
              <w:top w:type="dxa" w:w="70"/>
              <w:left w:type="dxa" w:w="120"/>
              <w:bottom w:type="dxa" w:w="70"/>
              <w:right w:type="dxa" w:w="120"/>
            </w:tcMar>
          </w:tcPr>
          <w:p>
            <w:pPr>
              <w:jc w:val="left"/>
            </w:pPr>
            <w:r>
              <w:rPr>
                <w:b w:val="false"/>
                <w:bCs w:val="false"/>
                <w:color w:val="1A1A1A"/>
                <w:sz w:val="19"/>
                <w:szCs w:val="19"/>
              </w:rPr>
              <w:t xml:space="preserve">GA since Nov 2022 — years of CUs, well-understood in production.</w:t>
            </w:r>
          </w:p>
        </w:tc>
        <w:tc>
          <w:tcPr>
            <w:tcW w:type="dxa" w:w="3660"/>
            <w:tcMar>
              <w:top w:type="dxa" w:w="70"/>
              <w:left w:type="dxa" w:w="120"/>
              <w:bottom w:type="dxa" w:w="70"/>
              <w:right w:type="dxa" w:w="120"/>
            </w:tcMar>
          </w:tcPr>
          <w:p>
            <w:pPr>
              <w:jc w:val="left"/>
            </w:pPr>
            <w:r>
              <w:rPr>
                <w:b w:val="false"/>
                <w:bCs w:val="false"/>
                <w:color w:val="1A1A1A"/>
                <w:sz w:val="19"/>
                <w:szCs w:val="19"/>
              </w:rPr>
              <w:t xml:space="preserve">GA 18 Nov 2025 — first-year .0 release; limited production hardening.</w:t>
            </w:r>
          </w:p>
        </w:tc>
      </w:tr>
      <w:tr>
        <w:tc>
          <w:tcPr>
            <w:tcW w:type="dxa" w:w="2760"/>
            <w:tcMar>
              <w:top w:type="dxa" w:w="70"/>
              <w:left w:type="dxa" w:w="120"/>
              <w:bottom w:type="dxa" w:w="70"/>
              <w:right w:type="dxa" w:w="120"/>
            </w:tcMar>
          </w:tcPr>
          <w:p>
            <w:pPr>
              <w:jc w:val="left"/>
            </w:pPr>
            <w:r>
              <w:rPr>
                <w:b/>
                <w:bCs/>
                <w:color w:val="1A1A1A"/>
                <w:sz w:val="19"/>
                <w:szCs w:val="19"/>
              </w:rPr>
              <w:t xml:space="preserve">Air-gap fit</w:t>
            </w:r>
          </w:p>
        </w:tc>
        <w:tc>
          <w:tcPr>
            <w:tcW w:type="dxa" w:w="3660"/>
            <w:tcMar>
              <w:top w:type="dxa" w:w="70"/>
              <w:left w:type="dxa" w:w="120"/>
              <w:bottom w:type="dxa" w:w="70"/>
              <w:right w:type="dxa" w:w="120"/>
            </w:tcMar>
          </w:tcPr>
          <w:p>
            <w:pPr>
              <w:jc w:val="left"/>
            </w:pPr>
            <w:r>
              <w:rPr>
                <w:b w:val="false"/>
                <w:bCs w:val="false"/>
                <w:color w:val="1A1A1A"/>
                <w:sz w:val="19"/>
                <w:szCs w:val="19"/>
              </w:rPr>
              <w:t xml:space="preserve">Known behaviour; Azure Extension simply omitted from the feature list.</w:t>
            </w:r>
          </w:p>
        </w:tc>
        <w:tc>
          <w:tcPr>
            <w:tcW w:type="dxa" w:w="3660"/>
            <w:tcMar>
              <w:top w:type="dxa" w:w="70"/>
              <w:left w:type="dxa" w:w="120"/>
              <w:bottom w:type="dxa" w:w="70"/>
              <w:right w:type="dxa" w:w="120"/>
            </w:tcMar>
          </w:tcPr>
          <w:p>
            <w:pPr>
              <w:jc w:val="left"/>
            </w:pPr>
            <w:r>
              <w:rPr>
                <w:b w:val="false"/>
                <w:bCs w:val="false"/>
                <w:color w:val="1A1A1A"/>
                <w:sz w:val="19"/>
                <w:szCs w:val="19"/>
              </w:rPr>
              <w:t xml:space="preserve">Vector/RAG run offline via a local model, but need a self-hosted inference stack; Fabric Mirroring and Entra ID stay cloud-dependent.</w:t>
            </w:r>
          </w:p>
        </w:tc>
      </w:tr>
      <w:tr>
        <w:tc>
          <w:tcPr>
            <w:tcW w:type="dxa" w:w="2760"/>
            <w:tcMar>
              <w:top w:type="dxa" w:w="70"/>
              <w:left w:type="dxa" w:w="120"/>
              <w:bottom w:type="dxa" w:w="70"/>
              <w:right w:type="dxa" w:w="120"/>
            </w:tcMar>
          </w:tcPr>
          <w:p>
            <w:pPr>
              <w:jc w:val="left"/>
            </w:pPr>
            <w:r>
              <w:rPr>
                <w:b/>
                <w:bCs/>
                <w:color w:val="1A1A1A"/>
                <w:sz w:val="19"/>
                <w:szCs w:val="19"/>
              </w:rPr>
              <w:t xml:space="preserve">Headline features</w:t>
            </w:r>
          </w:p>
        </w:tc>
        <w:tc>
          <w:tcPr>
            <w:tcW w:type="dxa" w:w="3660"/>
            <w:tcMar>
              <w:top w:type="dxa" w:w="70"/>
              <w:left w:type="dxa" w:w="120"/>
              <w:bottom w:type="dxa" w:w="70"/>
              <w:right w:type="dxa" w:w="120"/>
            </w:tcMar>
          </w:tcPr>
          <w:p>
            <w:pPr>
              <w:jc w:val="left"/>
            </w:pPr>
            <w:r>
              <w:rPr>
                <w:b w:val="false"/>
                <w:bCs w:val="false"/>
                <w:color w:val="1A1A1A"/>
                <w:sz w:val="19"/>
                <w:szCs w:val="19"/>
              </w:rPr>
              <w:t xml:space="preserve">Stable engine; no dependency on connectivity.</w:t>
            </w:r>
          </w:p>
        </w:tc>
        <w:tc>
          <w:tcPr>
            <w:tcW w:type="dxa" w:w="3660"/>
            <w:tcMar>
              <w:top w:type="dxa" w:w="70"/>
              <w:left w:type="dxa" w:w="120"/>
              <w:bottom w:type="dxa" w:w="70"/>
              <w:right w:type="dxa" w:w="120"/>
            </w:tcMar>
          </w:tcPr>
          <w:p>
            <w:pPr>
              <w:jc w:val="left"/>
            </w:pPr>
            <w:r>
              <w:rPr>
                <w:b w:val="false"/>
                <w:bCs w:val="false"/>
                <w:color w:val="1A1A1A"/>
                <w:sz w:val="19"/>
                <w:szCs w:val="19"/>
              </w:rPr>
              <w:t xml:space="preserve">Built-in AI / vector / RAG usable offline, but key functions are preview at RTM (not production-ready).</w:t>
            </w:r>
          </w:p>
        </w:tc>
      </w:tr>
      <w:tr>
        <w:tc>
          <w:tcPr>
            <w:tcW w:type="dxa" w:w="2760"/>
            <w:tcMar>
              <w:top w:type="dxa" w:w="70"/>
              <w:left w:type="dxa" w:w="120"/>
              <w:bottom w:type="dxa" w:w="70"/>
              <w:right w:type="dxa" w:w="120"/>
            </w:tcMar>
          </w:tcPr>
          <w:p>
            <w:pPr>
              <w:jc w:val="left"/>
            </w:pPr>
            <w:r>
              <w:rPr>
                <w:b/>
                <w:bCs/>
                <w:color w:val="1A1A1A"/>
                <w:sz w:val="19"/>
                <w:szCs w:val="19"/>
              </w:rPr>
              <w:t xml:space="preserve">AG operational gains</w:t>
            </w:r>
          </w:p>
        </w:tc>
        <w:tc>
          <w:tcPr>
            <w:tcW w:type="dxa" w:w="3660"/>
            <w:tcMar>
              <w:top w:type="dxa" w:w="70"/>
              <w:left w:type="dxa" w:w="120"/>
              <w:bottom w:type="dxa" w:w="70"/>
              <w:right w:type="dxa" w:w="120"/>
            </w:tcMar>
          </w:tcPr>
          <w:p>
            <w:pPr>
              <w:jc w:val="left"/>
            </w:pPr>
            <w:r>
              <w:rPr>
                <w:b w:val="false"/>
                <w:bCs w:val="false"/>
                <w:color w:val="1A1A1A"/>
                <w:sz w:val="19"/>
                <w:szCs w:val="19"/>
              </w:rPr>
              <w:t xml:space="preserve">Mature AG; already offloads copy-only full + log backups to a secondary.</w:t>
            </w:r>
          </w:p>
        </w:tc>
        <w:tc>
          <w:tcPr>
            <w:tcW w:type="dxa" w:w="3660"/>
            <w:tcMar>
              <w:top w:type="dxa" w:w="70"/>
              <w:left w:type="dxa" w:w="120"/>
              <w:bottom w:type="dxa" w:w="70"/>
              <w:right w:type="dxa" w:w="120"/>
            </w:tcMar>
          </w:tcPr>
          <w:p>
            <w:pPr>
              <w:jc w:val="left"/>
            </w:pPr>
            <w:r>
              <w:rPr>
                <w:b w:val="false"/>
                <w:bCs w:val="false"/>
                <w:color w:val="1A1A1A"/>
                <w:sz w:val="19"/>
                <w:szCs w:val="19"/>
              </w:rPr>
              <w:t xml:space="preserve">Adds non-copy-only full + differential backups on a secondary, plus ZSTD compression and faster failover — real, but not worth the maturity risk now.</w:t>
            </w:r>
          </w:p>
        </w:tc>
      </w:tr>
      <w:tr>
        <w:tc>
          <w:tcPr>
            <w:tcW w:type="dxa" w:w="2760"/>
            <w:tcMar>
              <w:top w:type="dxa" w:w="70"/>
              <w:left w:type="dxa" w:w="120"/>
              <w:bottom w:type="dxa" w:w="70"/>
              <w:right w:type="dxa" w:w="120"/>
            </w:tcMar>
          </w:tcPr>
          <w:p>
            <w:pPr>
              <w:jc w:val="left"/>
            </w:pPr>
            <w:r>
              <w:rPr>
                <w:b/>
                <w:bCs/>
                <w:color w:val="1A1A1A"/>
                <w:sz w:val="19"/>
                <w:szCs w:val="19"/>
              </w:rPr>
              <w:t xml:space="preserve">Tooling alignment</w:t>
            </w:r>
          </w:p>
        </w:tc>
        <w:tc>
          <w:tcPr>
            <w:tcW w:type="dxa" w:w="3660"/>
            <w:tcMar>
              <w:top w:type="dxa" w:w="70"/>
              <w:left w:type="dxa" w:w="120"/>
              <w:bottom w:type="dxa" w:w="70"/>
              <w:right w:type="dxa" w:w="120"/>
            </w:tcMar>
          </w:tcPr>
          <w:p>
            <w:pPr>
              <w:jc w:val="left"/>
            </w:pPr>
            <w:r>
              <w:rPr>
                <w:b w:val="false"/>
                <w:bCs w:val="false"/>
                <w:color w:val="1A1A1A"/>
                <w:sz w:val="19"/>
                <w:szCs w:val="19"/>
              </w:rPr>
              <w:t xml:space="preserve">Runbook, tracker, scripts, vSphere checklist all built &amp; validated for 2022.</w:t>
            </w:r>
          </w:p>
        </w:tc>
        <w:tc>
          <w:tcPr>
            <w:tcW w:type="dxa" w:w="3660"/>
            <w:tcMar>
              <w:top w:type="dxa" w:w="70"/>
              <w:left w:type="dxa" w:w="120"/>
              <w:bottom w:type="dxa" w:w="70"/>
              <w:right w:type="dxa" w:w="120"/>
            </w:tcMar>
          </w:tcPr>
          <w:p>
            <w:pPr>
              <w:jc w:val="left"/>
            </w:pPr>
            <w:r>
              <w:rPr>
                <w:b w:val="false"/>
                <w:bCs w:val="false"/>
                <w:color w:val="1A1A1A"/>
                <w:sz w:val="19"/>
                <w:szCs w:val="19"/>
              </w:rPr>
              <w:t xml:space="preserve">Requires re-validating the entire toolchain; introduces compat level 170.</w:t>
            </w:r>
          </w:p>
        </w:tc>
      </w:tr>
      <w:tr>
        <w:tc>
          <w:tcPr>
            <w:tcW w:type="dxa" w:w="2760"/>
            <w:tcMar>
              <w:top w:type="dxa" w:w="70"/>
              <w:left w:type="dxa" w:w="120"/>
              <w:bottom w:type="dxa" w:w="70"/>
              <w:right w:type="dxa" w:w="120"/>
            </w:tcMar>
          </w:tcPr>
          <w:p>
            <w:pPr>
              <w:jc w:val="left"/>
            </w:pPr>
            <w:r>
              <w:rPr>
                <w:b/>
                <w:bCs/>
                <w:color w:val="1A1A1A"/>
                <w:sz w:val="19"/>
                <w:szCs w:val="19"/>
              </w:rPr>
              <w:t xml:space="preserve">Support runway</w:t>
            </w:r>
          </w:p>
        </w:tc>
        <w:tc>
          <w:tcPr>
            <w:tcW w:type="dxa" w:w="3660"/>
            <w:tcMar>
              <w:top w:type="dxa" w:w="70"/>
              <w:left w:type="dxa" w:w="120"/>
              <w:bottom w:type="dxa" w:w="70"/>
              <w:right w:type="dxa" w:w="120"/>
            </w:tcMar>
          </w:tcPr>
          <w:p>
            <w:pPr>
              <w:jc w:val="left"/>
            </w:pPr>
            <w:r>
              <w:rPr>
                <w:b w:val="false"/>
                <w:bCs w:val="false"/>
                <w:color w:val="1A1A1A"/>
                <w:sz w:val="19"/>
                <w:szCs w:val="19"/>
              </w:rPr>
              <w:t xml:space="preserve">Mainstream ~2028, Extended ~2033.</w:t>
            </w:r>
          </w:p>
        </w:tc>
        <w:tc>
          <w:tcPr>
            <w:tcW w:type="dxa" w:w="3660"/>
            <w:tcMar>
              <w:top w:type="dxa" w:w="70"/>
              <w:left w:type="dxa" w:w="120"/>
              <w:bottom w:type="dxa" w:w="70"/>
              <w:right w:type="dxa" w:w="120"/>
            </w:tcMar>
          </w:tcPr>
          <w:p>
            <w:pPr>
              <w:jc w:val="left"/>
            </w:pPr>
            <w:r>
              <w:rPr>
                <w:b w:val="false"/>
                <w:bCs w:val="false"/>
                <w:color w:val="1A1A1A"/>
                <w:sz w:val="19"/>
                <w:szCs w:val="19"/>
              </w:rPr>
              <w:t xml:space="preserve">~3 additional years beyond 2022.</w:t>
            </w:r>
          </w:p>
        </w:tc>
      </w:tr>
      <w:tr>
        <w:tc>
          <w:tcPr>
            <w:tcW w:type="dxa" w:w="2760"/>
            <w:tcMar>
              <w:top w:type="dxa" w:w="70"/>
              <w:left w:type="dxa" w:w="120"/>
              <w:bottom w:type="dxa" w:w="70"/>
              <w:right w:type="dxa" w:w="120"/>
            </w:tcMar>
          </w:tcPr>
          <w:p>
            <w:pPr>
              <w:jc w:val="left"/>
            </w:pPr>
            <w:r>
              <w:rPr>
                <w:b/>
                <w:bCs/>
                <w:color w:val="1A1A1A"/>
                <w:sz w:val="19"/>
                <w:szCs w:val="19"/>
              </w:rPr>
              <w:t xml:space="preserve">Deadline fit</w:t>
            </w:r>
          </w:p>
        </w:tc>
        <w:tc>
          <w:tcPr>
            <w:tcW w:type="dxa" w:w="3660"/>
            <w:tcMar>
              <w:top w:type="dxa" w:w="70"/>
              <w:left w:type="dxa" w:w="120"/>
              <w:bottom w:type="dxa" w:w="70"/>
              <w:right w:type="dxa" w:w="120"/>
            </w:tcMar>
          </w:tcPr>
          <w:p>
            <w:pPr>
              <w:jc w:val="left"/>
            </w:pPr>
            <w:r>
              <w:rPr>
                <w:b w:val="false"/>
                <w:bCs w:val="false"/>
                <w:color w:val="1A1A1A"/>
                <w:sz w:val="19"/>
                <w:szCs w:val="19"/>
              </w:rPr>
              <w:t xml:space="preserve">Ready to deploy now against the 2016 EOL clock.</w:t>
            </w:r>
          </w:p>
        </w:tc>
        <w:tc>
          <w:tcPr>
            <w:tcW w:type="dxa" w:w="3660"/>
            <w:tcMar>
              <w:top w:type="dxa" w:w="70"/>
              <w:left w:type="dxa" w:w="120"/>
              <w:bottom w:type="dxa" w:w="70"/>
              <w:right w:type="dxa" w:w="120"/>
            </w:tcMar>
          </w:tcPr>
          <w:p>
            <w:pPr>
              <w:jc w:val="left"/>
            </w:pPr>
            <w:r>
              <w:rPr>
                <w:b w:val="false"/>
                <w:bCs w:val="false"/>
                <w:color w:val="1A1A1A"/>
                <w:sz w:val="19"/>
                <w:szCs w:val="19"/>
              </w:rPr>
              <w:t xml:space="preserve">Would delay an urgent, deadline-driven cutover.</w:t>
            </w:r>
          </w:p>
        </w:tc>
      </w:tr>
    </w:tbl>
    <w:p>
      <w:pPr>
        <w:pBdr>
          <w:bottom w:val="single" w:color="C7CDD6" w:sz="6" w:space="4"/>
        </w:pBdr>
        <w:spacing w:after="80" w:before="168"/>
      </w:pPr>
      <w:r>
        <w:rPr>
          <w:b/>
          <w:bCs/>
          <w:color w:val="1F3A5F"/>
          <w:sz w:val="22"/>
          <w:szCs w:val="22"/>
        </w:rPr>
        <w:t xml:space="preserve">When to revisit 2025</w:t>
      </w:r>
    </w:p>
    <w:p>
      <w:pPr>
        <w:spacing w:after="90" w:line="264"/>
      </w:pPr>
      <w:r>
        <w:rPr>
          <w:color w:val="1A1A1A"/>
          <w:sz w:val="20"/>
          <w:szCs w:val="20"/>
        </w:rPr>
        <w:t xml:space="preserve">This decision is scoped to the current migration, not a permanent verdict. Re-evaluate 2025 as a deliberate, separate project — not an in-flight change — once the following hold:</w:t>
      </w:r>
    </w:p>
    <w:p>
      <w:pPr>
        <w:pStyle w:val="ListParagraph"/>
        <w:numPr>
          <w:ilvl w:val="0"/>
          <w:numId w:val="2"/>
        </w:numPr>
        <w:spacing w:after="60" w:line="258"/>
      </w:pPr>
      <w:r>
        <w:rPr>
          <w:color w:val="1A1A1A"/>
          <w:sz w:val="20"/>
          <w:szCs w:val="20"/>
        </w:rPr>
        <w:t xml:space="preserve">The 2016 → 2022 cutover is complete and signed off across all 10 VMs.</w:t>
      </w:r>
    </w:p>
    <w:p>
      <w:pPr>
        <w:pStyle w:val="ListParagraph"/>
        <w:numPr>
          <w:ilvl w:val="0"/>
          <w:numId w:val="2"/>
        </w:numPr>
        <w:spacing w:after="60" w:line="258"/>
      </w:pPr>
      <w:r>
        <w:rPr>
          <w:color w:val="1A1A1A"/>
          <w:sz w:val="20"/>
          <w:szCs w:val="20"/>
        </w:rPr>
        <w:t xml:space="preserve">2025 has at least one or two cumulative updates of production hardening behind it.</w:t>
      </w:r>
    </w:p>
    <w:p>
      <w:pPr>
        <w:pStyle w:val="ListParagraph"/>
        <w:numPr>
          <w:ilvl w:val="0"/>
          <w:numId w:val="2"/>
        </w:numPr>
        <w:spacing w:after="60" w:line="258"/>
      </w:pPr>
      <w:r>
        <w:rPr>
          <w:color w:val="1A1A1A"/>
          <w:sz w:val="20"/>
          <w:szCs w:val="20"/>
        </w:rPr>
        <w:t xml:space="preserve">The secondary-replica backup and/or Standard-edition capacity gains present a concrete, justified need.</w:t>
      </w:r>
    </w:p>
    <w:p>
      <w:pPr>
        <w:pStyle w:val="ListParagraph"/>
        <w:numPr>
          <w:ilvl w:val="0"/>
          <w:numId w:val="2"/>
        </w:numPr>
        <w:spacing w:after="60" w:line="258"/>
      </w:pPr>
      <w:r>
        <w:rPr>
          <w:color w:val="1A1A1A"/>
          <w:sz w:val="20"/>
          <w:szCs w:val="20"/>
        </w:rPr>
        <w:t xml:space="preserve">Air-gap install behaviour has been proven first on a 2025 replica in a non-production test AG.</w:t>
      </w:r>
    </w:p>
    <w:p>
      <w:pPr>
        <w:spacing w:before="200"/>
      </w:pPr>
    </w:p>
    <w:tbl>
      <w:tblPr>
        <w:tblW w:type="dxa" w:w="10080"/>
        <w:tblBorders>
          <w:top w:val="single" w:color="2E5077" w:sz="4"/>
          <w:left w:val="single" w:color="2E5077" w:sz="18"/>
          <w:bottom w:val="single" w:color="2E5077" w:sz="4"/>
          <w:right w:val="single" w:color="2E5077" w:sz="4"/>
          <w:insideH w:val="none" w:color="FFFFFF" w:sz="0"/>
          <w:insideV w:val="none" w:color="FFFFFF" w:sz="0"/>
        </w:tblBorders>
      </w:tblPr>
      <w:tblGrid>
        <w:gridCol w:w="10080"/>
      </w:tblGrid>
      <w:tr>
        <w:trPr>
          <w:cantSplit/>
        </w:trPr>
        <w:tc>
          <w:tcPr>
            <w:tcW w:type="dxa" w:w="10080"/>
            <w:shd w:fill="F2F4F7" w:color="auto" w:val="clear"/>
            <w:tcMar>
              <w:top w:type="dxa" w:w="120"/>
              <w:left w:type="dxa" w:w="200"/>
              <w:bottom w:type="dxa" w:w="120"/>
              <w:right w:type="dxa" w:w="200"/>
            </w:tcMar>
          </w:tcPr>
          <w:p>
            <w:pPr>
              <w:spacing w:after="0"/>
            </w:pPr>
          </w:p>
          <w:p>
            <w:r>
              <w:rPr>
                <w:i/>
                <w:iCs/>
                <w:color w:val="1A1A1A"/>
                <w:sz w:val="20"/>
                <w:szCs w:val="20"/>
              </w:rPr>
              <w:t xml:space="preserve">Bottom line: 2022 gets the estate safely off 2016 on schedule with a known-good, fully-validated plan. 2025's real payoff — roughly three more years of runway and a handful of on-prem AG gains — is a next-cycle consideration, best approached unhurried once it has matured.</w:t>
            </w:r>
          </w:p>
        </w:tc>
      </w:tr>
    </w:tbl>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1F3A5F" w:color="auto" w:val="clear"/>
            <w:tcMar>
              <w:top w:type="dxa" w:w="80"/>
              <w:left w:type="dxa" w:w="160"/>
              <w:bottom w:type="dxa" w:w="80"/>
              <w:right w:type="dxa" w:w="160"/>
            </w:tcMar>
          </w:tcPr>
          <w:p>
            <w:pPr>
              <w:spacing w:after="20" w:before="60"/>
            </w:pPr>
            <w:r>
              <w:rPr>
                <w:b/>
                <w:bCs/>
                <w:color w:val="FFFFFF"/>
                <w:sz w:val="30"/>
                <w:szCs w:val="30"/>
              </w:rPr>
              <w:t xml:space="preserve">Support Lifecycle &amp; ESU Bridge — SQL Server 2016 → 2022</w:t>
            </w:r>
          </w:p>
          <w:p>
            <w:pPr>
              <w:spacing w:after="60"/>
            </w:pPr>
            <w:r>
              <w:rPr>
                <w:i/>
                <w:iCs/>
                <w:color w:val="DCE4EF"/>
                <w:sz w:val="18"/>
                <w:szCs w:val="18"/>
              </w:rPr>
              <w:t xml:space="preserve">Mainstream vs Extended vs Extended Security Updates, and when the ESU bridge is needed</w:t>
            </w:r>
          </w:p>
        </w:tc>
      </w:tr>
    </w:tbl>
    <w:p>
      <w:pPr>
        <w:spacing w:after="40"/>
      </w:pPr>
    </w:p>
    <w:p>
      <w:pPr>
        <w:spacing w:after="100" w:line="264"/>
      </w:pPr>
      <w:r>
        <w:rPr>
          <w:color w:val="1A1A1A"/>
          <w:sz w:val="20"/>
          <w:szCs w:val="20"/>
        </w:rPr>
        <w:t xml:space="preserve">Every SQL Server version follows a fixed 10-year lifecycle: five years of Mainstream, then five of Extended. After that, the only way to keep receiving security fixes is the paid ESU bridge. A common trap: “Extended Support” and “Extended Security Updates (ESU)” are different things — Extended is free to all licensees, ESU is the paid post-lifecycle add-on that requires Software Assurance.</w:t>
      </w:r>
    </w:p>
    <w:tbl>
      <w:tblPr>
        <w:tblW w:type="dxa" w:w="10080"/>
        <w:tblBorders>
          <w:top w:val="single" w:color="C7CDD6" w:sz="2"/>
          <w:left w:val="single" w:color="C7CDD6" w:sz="2"/>
          <w:bottom w:val="single" w:color="C7CDD6" w:sz="2"/>
          <w:right w:val="single" w:color="C7CDD6" w:sz="2"/>
          <w:insideH w:val="single" w:color="C7CDD6" w:sz="2"/>
          <w:insideV w:val="single" w:color="C7CDD6" w:sz="2"/>
        </w:tblBorders>
      </w:tblPr>
      <w:tblGrid>
        <w:gridCol w:w="1500"/>
        <w:gridCol w:w="8580"/>
      </w:tblGrid>
      <w:tr>
        <w:tc>
          <w:tcPr>
            <w:tcW w:type="dxa" w:w="1500"/>
            <w:shd w:fill="1E7A46" w:color="auto" w:val="clear"/>
            <w:tcMar>
              <w:top w:type="dxa" w:w="60"/>
              <w:left w:type="dxa" w:w="120"/>
              <w:bottom w:type="dxa" w:w="60"/>
              <w:right w:type="dxa" w:w="120"/>
            </w:tcMar>
            <w:vAlign w:val="center"/>
          </w:tcPr>
          <w:p>
            <w:pPr>
              <w:jc w:val="center"/>
            </w:pPr>
            <w:r>
              <w:rPr>
                <w:b/>
                <w:bCs/>
                <w:color w:val="FFFFFF"/>
                <w:sz w:val="17"/>
                <w:szCs w:val="17"/>
              </w:rPr>
              <w:t xml:space="preserve">Mainstream</w:t>
            </w:r>
          </w:p>
        </w:tc>
        <w:tc>
          <w:tcPr>
            <w:tcW w:type="dxa" w:w="8580"/>
            <w:tcMar>
              <w:top w:type="dxa" w:w="60"/>
              <w:left w:type="dxa" w:w="160"/>
              <w:bottom w:type="dxa" w:w="60"/>
              <w:right w:type="dxa" w:w="120"/>
            </w:tcMar>
            <w:vAlign w:val="center"/>
          </w:tcPr>
          <w:p>
            <w:r>
              <w:rPr>
                <w:color w:val="1A1A1A"/>
                <w:sz w:val="20"/>
                <w:szCs w:val="20"/>
              </w:rPr>
              <w:t xml:space="preserve">Full servicing — feature, performance, and security updates, plus included break-fix support. </w:t>
            </w:r>
            <w:r>
              <w:rPr>
                <w:b/>
                <w:bCs/>
                <w:color w:val="1A1A1A"/>
                <w:sz w:val="20"/>
                <w:szCs w:val="20"/>
              </w:rPr>
              <w:t xml:space="preserve">Included with any licence; no Software Assurance required.</w:t>
            </w:r>
          </w:p>
        </w:tc>
      </w:tr>
      <w:tr>
        <w:tc>
          <w:tcPr>
            <w:tcW w:type="dxa" w:w="1500"/>
            <w:shd w:fill="C8901A" w:color="auto" w:val="clear"/>
            <w:tcMar>
              <w:top w:type="dxa" w:w="60"/>
              <w:left w:type="dxa" w:w="120"/>
              <w:bottom w:type="dxa" w:w="60"/>
              <w:right w:type="dxa" w:w="120"/>
            </w:tcMar>
            <w:vAlign w:val="center"/>
          </w:tcPr>
          <w:p>
            <w:pPr>
              <w:jc w:val="center"/>
            </w:pPr>
            <w:r>
              <w:rPr>
                <w:b/>
                <w:bCs/>
                <w:color w:val="FFFFFF"/>
                <w:sz w:val="17"/>
                <w:szCs w:val="17"/>
              </w:rPr>
              <w:t xml:space="preserve">Extended</w:t>
            </w:r>
          </w:p>
        </w:tc>
        <w:tc>
          <w:tcPr>
            <w:tcW w:type="dxa" w:w="8580"/>
            <w:tcMar>
              <w:top w:type="dxa" w:w="60"/>
              <w:left w:type="dxa" w:w="160"/>
              <w:bottom w:type="dxa" w:w="60"/>
              <w:right w:type="dxa" w:w="120"/>
            </w:tcMar>
            <w:vAlign w:val="center"/>
          </w:tcPr>
          <w:p>
            <w:r>
              <w:rPr>
                <w:color w:val="1A1A1A"/>
                <w:sz w:val="20"/>
                <w:szCs w:val="20"/>
              </w:rPr>
              <w:t xml:space="preserve">Security updates only — no new features or design changes; break-fix is paid. </w:t>
            </w:r>
            <w:r>
              <w:rPr>
                <w:b/>
                <w:bCs/>
                <w:color w:val="1A1A1A"/>
                <w:sz w:val="20"/>
                <w:szCs w:val="20"/>
              </w:rPr>
              <w:t xml:space="preserve">Still included for all licensees; SA is NOT what unlocks this.</w:t>
            </w:r>
          </w:p>
        </w:tc>
      </w:tr>
      <w:tr>
        <w:tc>
          <w:tcPr>
            <w:tcW w:type="dxa" w:w="1500"/>
            <w:shd w:fill="9A2B2B" w:color="auto" w:val="clear"/>
            <w:tcMar>
              <w:top w:type="dxa" w:w="60"/>
              <w:left w:type="dxa" w:w="120"/>
              <w:bottom w:type="dxa" w:w="60"/>
              <w:right w:type="dxa" w:w="120"/>
            </w:tcMar>
            <w:vAlign w:val="center"/>
          </w:tcPr>
          <w:p>
            <w:pPr>
              <w:jc w:val="center"/>
            </w:pPr>
            <w:r>
              <w:rPr>
                <w:b/>
                <w:bCs/>
                <w:color w:val="FFFFFF"/>
                <w:sz w:val="17"/>
                <w:szCs w:val="17"/>
              </w:rPr>
              <w:t xml:space="preserve">ESU bridge</w:t>
            </w:r>
          </w:p>
        </w:tc>
        <w:tc>
          <w:tcPr>
            <w:tcW w:type="dxa" w:w="8580"/>
            <w:tcMar>
              <w:top w:type="dxa" w:w="60"/>
              <w:left w:type="dxa" w:w="160"/>
              <w:bottom w:type="dxa" w:w="60"/>
              <w:right w:type="dxa" w:w="120"/>
            </w:tcMar>
            <w:vAlign w:val="center"/>
          </w:tcPr>
          <w:p>
            <w:r>
              <w:rPr>
                <w:color w:val="1A1A1A"/>
                <w:sz w:val="20"/>
                <w:szCs w:val="20"/>
              </w:rPr>
              <w:t xml:space="preserve">Post-extended paid option — critical security updates only, up to 3 years. </w:t>
            </w:r>
            <w:r>
              <w:rPr>
                <w:b/>
                <w:bCs/>
                <w:color w:val="1A1A1A"/>
                <w:sz w:val="20"/>
                <w:szCs w:val="20"/>
              </w:rPr>
              <w:t xml:space="preserve">Requires active Software Assurance (or subscription); ~75% of licence cost/year; Azure Arc registration required, with a disconnected path for air-gapped servers.</w:t>
            </w:r>
          </w:p>
        </w:tc>
      </w:tr>
    </w:tbl>
    <w:p>
      <w:pPr>
        <w:pBdr>
          <w:bottom w:val="single" w:color="C7CDD6" w:sz="6" w:space="4"/>
        </w:pBdr>
        <w:spacing w:after="80" w:before="168"/>
      </w:pPr>
      <w:r>
        <w:rPr>
          <w:b/>
          <w:bCs/>
          <w:color w:val="1F3A5F"/>
          <w:sz w:val="22"/>
          <w:szCs w:val="22"/>
        </w:rPr>
        <w:t xml:space="preserve">Key dates (Microsoft Fixed Lifecycle Policy)</w:t>
      </w:r>
    </w:p>
    <w:tbl>
      <w:tblPr>
        <w:tblW w:type="dxa" w:w="10080"/>
        <w:tblBorders>
          <w:top w:val="single" w:color="C7CDD6" w:sz="2"/>
          <w:left w:val="single" w:color="C7CDD6" w:sz="2"/>
          <w:bottom w:val="single" w:color="C7CDD6" w:sz="2"/>
          <w:right w:val="single" w:color="C7CDD6" w:sz="2"/>
          <w:insideH w:val="single" w:color="C7CDD6" w:sz="2"/>
          <w:insideV w:val="single" w:color="C7CDD6" w:sz="2"/>
        </w:tblBorders>
      </w:tblPr>
      <w:tblGrid>
        <w:gridCol w:w="1420"/>
        <w:gridCol w:w="1760"/>
        <w:gridCol w:w="1760"/>
        <w:gridCol w:w="1760"/>
        <w:gridCol w:w="3380"/>
      </w:tblGrid>
      <w:tr>
        <w:trPr>
          <w:tblHeader/>
        </w:trPr>
        <w:tc>
          <w:tcPr>
            <w:tcW w:type="dxa" w:w="1420"/>
            <w:shd w:fill="2E5077" w:color="auto" w:val="clear"/>
            <w:tcMar>
              <w:top w:type="dxa" w:w="60"/>
              <w:left w:type="dxa" w:w="110"/>
              <w:bottom w:type="dxa" w:w="60"/>
              <w:right w:type="dxa" w:w="90"/>
            </w:tcMar>
          </w:tcPr>
          <w:p>
            <w:r>
              <w:rPr>
                <w:b/>
                <w:bCs/>
                <w:color w:val="FFFFFF"/>
                <w:sz w:val="18"/>
                <w:szCs w:val="18"/>
              </w:rPr>
              <w:t xml:space="preserve">Version</w:t>
            </w:r>
          </w:p>
        </w:tc>
        <w:tc>
          <w:tcPr>
            <w:tcW w:type="dxa" w:w="1760"/>
            <w:shd w:fill="2E5077" w:color="auto" w:val="clear"/>
            <w:tcMar>
              <w:top w:type="dxa" w:w="60"/>
              <w:left w:type="dxa" w:w="110"/>
              <w:bottom w:type="dxa" w:w="60"/>
              <w:right w:type="dxa" w:w="90"/>
            </w:tcMar>
          </w:tcPr>
          <w:p>
            <w:r>
              <w:rPr>
                <w:b/>
                <w:bCs/>
                <w:color w:val="FFFFFF"/>
                <w:sz w:val="18"/>
                <w:szCs w:val="18"/>
              </w:rPr>
              <w:t xml:space="preserve">Mainstream ends</w:t>
            </w:r>
          </w:p>
        </w:tc>
        <w:tc>
          <w:tcPr>
            <w:tcW w:type="dxa" w:w="1760"/>
            <w:shd w:fill="2E5077" w:color="auto" w:val="clear"/>
            <w:tcMar>
              <w:top w:type="dxa" w:w="60"/>
              <w:left w:type="dxa" w:w="110"/>
              <w:bottom w:type="dxa" w:w="60"/>
              <w:right w:type="dxa" w:w="90"/>
            </w:tcMar>
          </w:tcPr>
          <w:p>
            <w:r>
              <w:rPr>
                <w:b/>
                <w:bCs/>
                <w:color w:val="FFFFFF"/>
                <w:sz w:val="18"/>
                <w:szCs w:val="18"/>
              </w:rPr>
              <w:t xml:space="preserve">Extended ends</w:t>
            </w:r>
          </w:p>
        </w:tc>
        <w:tc>
          <w:tcPr>
            <w:tcW w:type="dxa" w:w="1760"/>
            <w:shd w:fill="2E5077" w:color="auto" w:val="clear"/>
            <w:tcMar>
              <w:top w:type="dxa" w:w="60"/>
              <w:left w:type="dxa" w:w="110"/>
              <w:bottom w:type="dxa" w:w="60"/>
              <w:right w:type="dxa" w:w="90"/>
            </w:tcMar>
          </w:tcPr>
          <w:p>
            <w:r>
              <w:rPr>
                <w:b/>
                <w:bCs/>
                <w:color w:val="FFFFFF"/>
                <w:sz w:val="18"/>
                <w:szCs w:val="18"/>
              </w:rPr>
              <w:t xml:space="preserve">ESU available to (≈)</w:t>
            </w:r>
          </w:p>
        </w:tc>
        <w:tc>
          <w:tcPr>
            <w:tcW w:type="dxa" w:w="3380"/>
            <w:shd w:fill="2E5077" w:color="auto" w:val="clear"/>
            <w:tcMar>
              <w:top w:type="dxa" w:w="60"/>
              <w:left w:type="dxa" w:w="110"/>
              <w:bottom w:type="dxa" w:w="60"/>
              <w:right w:type="dxa" w:w="90"/>
            </w:tcMar>
          </w:tcPr>
          <w:p>
            <w:r>
              <w:rPr>
                <w:b/>
                <w:bCs/>
                <w:color w:val="FFFFFF"/>
                <w:sz w:val="18"/>
                <w:szCs w:val="18"/>
              </w:rPr>
              <w:t xml:space="preserve">Role in this estate</w:t>
            </w:r>
          </w:p>
        </w:tc>
      </w:tr>
      <w:tr>
        <w:tc>
          <w:tcPr>
            <w:tcW w:type="dxa" w:w="1420"/>
            <w:shd w:fill="FBE7CC" w:color="auto" w:val="clear"/>
            <w:tcMar>
              <w:top w:type="dxa" w:w="60"/>
              <w:left w:type="dxa" w:w="110"/>
              <w:bottom w:type="dxa" w:w="60"/>
              <w:right w:type="dxa" w:w="90"/>
            </w:tcMar>
          </w:tcPr>
          <w:p>
            <w:r>
              <w:rPr>
                <w:b/>
                <w:bCs/>
                <w:color w:val="1A1A1A"/>
                <w:sz w:val="18"/>
                <w:szCs w:val="18"/>
              </w:rPr>
              <w:t xml:space="preserve">SQL Server 2016</w:t>
            </w:r>
          </w:p>
        </w:tc>
        <w:tc>
          <w:tcPr>
            <w:tcW w:type="dxa" w:w="1760"/>
            <w:shd w:fill="FBE7CC" w:color="auto" w:val="clear"/>
            <w:tcMar>
              <w:top w:type="dxa" w:w="60"/>
              <w:left w:type="dxa" w:w="110"/>
              <w:bottom w:type="dxa" w:w="60"/>
              <w:right w:type="dxa" w:w="90"/>
            </w:tcMar>
          </w:tcPr>
          <w:p>
            <w:r>
              <w:rPr>
                <w:b w:val="false"/>
                <w:bCs w:val="false"/>
                <w:color w:val="1A1A1A"/>
                <w:sz w:val="18"/>
                <w:szCs w:val="18"/>
              </w:rPr>
              <w:t xml:space="preserve">13 Jul 2021</w:t>
            </w:r>
          </w:p>
        </w:tc>
        <w:tc>
          <w:tcPr>
            <w:tcW w:type="dxa" w:w="1760"/>
            <w:shd w:fill="FBE7CC" w:color="auto" w:val="clear"/>
            <w:tcMar>
              <w:top w:type="dxa" w:w="60"/>
              <w:left w:type="dxa" w:w="110"/>
              <w:bottom w:type="dxa" w:w="60"/>
              <w:right w:type="dxa" w:w="90"/>
            </w:tcMar>
          </w:tcPr>
          <w:p>
            <w:r>
              <w:rPr>
                <w:b w:val="false"/>
                <w:bCs w:val="false"/>
                <w:color w:val="1A1A1A"/>
                <w:sz w:val="18"/>
                <w:szCs w:val="18"/>
              </w:rPr>
              <w:t xml:space="preserve">14 Jul 2026</w:t>
            </w:r>
          </w:p>
        </w:tc>
        <w:tc>
          <w:tcPr>
            <w:tcW w:type="dxa" w:w="1760"/>
            <w:shd w:fill="FBE7CC" w:color="auto" w:val="clear"/>
            <w:tcMar>
              <w:top w:type="dxa" w:w="60"/>
              <w:left w:type="dxa" w:w="110"/>
              <w:bottom w:type="dxa" w:w="60"/>
              <w:right w:type="dxa" w:w="90"/>
            </w:tcMar>
          </w:tcPr>
          <w:p>
            <w:r>
              <w:rPr>
                <w:b w:val="false"/>
                <w:bCs w:val="false"/>
                <w:color w:val="1A1A1A"/>
                <w:sz w:val="18"/>
                <w:szCs w:val="18"/>
              </w:rPr>
              <w:t xml:space="preserve">Jul 2029</w:t>
            </w:r>
          </w:p>
        </w:tc>
        <w:tc>
          <w:tcPr>
            <w:tcW w:type="dxa" w:w="3380"/>
            <w:shd w:fill="FBE7CC" w:color="auto" w:val="clear"/>
            <w:tcMar>
              <w:top w:type="dxa" w:w="60"/>
              <w:left w:type="dxa" w:w="110"/>
              <w:bottom w:type="dxa" w:w="60"/>
              <w:right w:type="dxa" w:w="90"/>
            </w:tcMar>
          </w:tcPr>
          <w:p>
            <w:r>
              <w:rPr>
                <w:b w:val="false"/>
                <w:bCs w:val="false"/>
                <w:color w:val="1A1A1A"/>
                <w:sz w:val="18"/>
                <w:szCs w:val="18"/>
              </w:rPr>
              <w:t xml:space="preserve">SOURCE — migrate now; ESU bridge for any VM still on 2016 past 14 Jul 2026.</w:t>
            </w:r>
          </w:p>
        </w:tc>
      </w:tr>
      <w:tr>
        <w:tc>
          <w:tcPr>
            <w:tcW w:type="dxa" w:w="1420"/>
            <w:tcMar>
              <w:top w:type="dxa" w:w="60"/>
              <w:left w:type="dxa" w:w="110"/>
              <w:bottom w:type="dxa" w:w="60"/>
              <w:right w:type="dxa" w:w="90"/>
            </w:tcMar>
          </w:tcPr>
          <w:p>
            <w:r>
              <w:rPr>
                <w:b/>
                <w:bCs/>
                <w:color w:val="1A1A1A"/>
                <w:sz w:val="18"/>
                <w:szCs w:val="18"/>
              </w:rPr>
              <w:t xml:space="preserve">SQL Server 2017</w:t>
            </w:r>
          </w:p>
        </w:tc>
        <w:tc>
          <w:tcPr>
            <w:tcW w:type="dxa" w:w="1760"/>
            <w:tcMar>
              <w:top w:type="dxa" w:w="60"/>
              <w:left w:type="dxa" w:w="110"/>
              <w:bottom w:type="dxa" w:w="60"/>
              <w:right w:type="dxa" w:w="90"/>
            </w:tcMar>
          </w:tcPr>
          <w:p>
            <w:r>
              <w:rPr>
                <w:b w:val="false"/>
                <w:bCs w:val="false"/>
                <w:color w:val="1A1A1A"/>
                <w:sz w:val="18"/>
                <w:szCs w:val="18"/>
              </w:rPr>
              <w:t xml:space="preserve">11 Oct 2022</w:t>
            </w:r>
          </w:p>
        </w:tc>
        <w:tc>
          <w:tcPr>
            <w:tcW w:type="dxa" w:w="1760"/>
            <w:tcMar>
              <w:top w:type="dxa" w:w="60"/>
              <w:left w:type="dxa" w:w="110"/>
              <w:bottom w:type="dxa" w:w="60"/>
              <w:right w:type="dxa" w:w="90"/>
            </w:tcMar>
          </w:tcPr>
          <w:p>
            <w:r>
              <w:rPr>
                <w:b w:val="false"/>
                <w:bCs w:val="false"/>
                <w:color w:val="1A1A1A"/>
                <w:sz w:val="18"/>
                <w:szCs w:val="18"/>
              </w:rPr>
              <w:t xml:space="preserve">12 Oct 2027</w:t>
            </w:r>
          </w:p>
        </w:tc>
        <w:tc>
          <w:tcPr>
            <w:tcW w:type="dxa" w:w="1760"/>
            <w:tcMar>
              <w:top w:type="dxa" w:w="60"/>
              <w:left w:type="dxa" w:w="110"/>
              <w:bottom w:type="dxa" w:w="60"/>
              <w:right w:type="dxa" w:w="90"/>
            </w:tcMar>
          </w:tcPr>
          <w:p>
            <w:r>
              <w:rPr>
                <w:b w:val="false"/>
                <w:bCs w:val="false"/>
                <w:color w:val="1A1A1A"/>
                <w:sz w:val="18"/>
                <w:szCs w:val="18"/>
              </w:rPr>
              <w:t xml:space="preserve">Oct 2030</w:t>
            </w:r>
          </w:p>
        </w:tc>
        <w:tc>
          <w:tcPr>
            <w:tcW w:type="dxa" w:w="3380"/>
            <w:tcMar>
              <w:top w:type="dxa" w:w="60"/>
              <w:left w:type="dxa" w:w="110"/>
              <w:bottom w:type="dxa" w:w="60"/>
              <w:right w:type="dxa" w:w="90"/>
            </w:tcMar>
          </w:tcPr>
          <w:p>
            <w:r>
              <w:rPr>
                <w:b w:val="false"/>
                <w:bCs w:val="false"/>
                <w:color w:val="1A1A1A"/>
                <w:sz w:val="18"/>
                <w:szCs w:val="18"/>
              </w:rPr>
              <w:t xml:space="preserve">Context — later cliff; same pattern.</w:t>
            </w:r>
          </w:p>
        </w:tc>
      </w:tr>
      <w:tr>
        <w:tc>
          <w:tcPr>
            <w:tcW w:type="dxa" w:w="1420"/>
            <w:tcMar>
              <w:top w:type="dxa" w:w="60"/>
              <w:left w:type="dxa" w:w="110"/>
              <w:bottom w:type="dxa" w:w="60"/>
              <w:right w:type="dxa" w:w="90"/>
            </w:tcMar>
          </w:tcPr>
          <w:p>
            <w:r>
              <w:rPr>
                <w:b/>
                <w:bCs/>
                <w:color w:val="1A1A1A"/>
                <w:sz w:val="18"/>
                <w:szCs w:val="18"/>
              </w:rPr>
              <w:t xml:space="preserve">SQL Server 2019</w:t>
            </w:r>
          </w:p>
        </w:tc>
        <w:tc>
          <w:tcPr>
            <w:tcW w:type="dxa" w:w="1760"/>
            <w:tcMar>
              <w:top w:type="dxa" w:w="60"/>
              <w:left w:type="dxa" w:w="110"/>
              <w:bottom w:type="dxa" w:w="60"/>
              <w:right w:type="dxa" w:w="90"/>
            </w:tcMar>
          </w:tcPr>
          <w:p>
            <w:r>
              <w:rPr>
                <w:b w:val="false"/>
                <w:bCs w:val="false"/>
                <w:color w:val="1A1A1A"/>
                <w:sz w:val="18"/>
                <w:szCs w:val="18"/>
              </w:rPr>
              <w:t xml:space="preserve">28 Feb 2025</w:t>
            </w:r>
          </w:p>
        </w:tc>
        <w:tc>
          <w:tcPr>
            <w:tcW w:type="dxa" w:w="1760"/>
            <w:tcMar>
              <w:top w:type="dxa" w:w="60"/>
              <w:left w:type="dxa" w:w="110"/>
              <w:bottom w:type="dxa" w:w="60"/>
              <w:right w:type="dxa" w:w="90"/>
            </w:tcMar>
          </w:tcPr>
          <w:p>
            <w:r>
              <w:rPr>
                <w:b w:val="false"/>
                <w:bCs w:val="false"/>
                <w:color w:val="1A1A1A"/>
                <w:sz w:val="18"/>
                <w:szCs w:val="18"/>
              </w:rPr>
              <w:t xml:space="preserve">8 Jan 2030</w:t>
            </w:r>
          </w:p>
        </w:tc>
        <w:tc>
          <w:tcPr>
            <w:tcW w:type="dxa" w:w="1760"/>
            <w:tcMar>
              <w:top w:type="dxa" w:w="60"/>
              <w:left w:type="dxa" w:w="110"/>
              <w:bottom w:type="dxa" w:w="60"/>
              <w:right w:type="dxa" w:w="90"/>
            </w:tcMar>
          </w:tcPr>
          <w:p>
            <w:r>
              <w:rPr>
                <w:b w:val="false"/>
                <w:bCs w:val="false"/>
                <w:color w:val="1A1A1A"/>
                <w:sz w:val="18"/>
                <w:szCs w:val="18"/>
              </w:rPr>
              <w:t xml:space="preserve">Jan 2033</w:t>
            </w:r>
          </w:p>
        </w:tc>
        <w:tc>
          <w:tcPr>
            <w:tcW w:type="dxa" w:w="3380"/>
            <w:tcMar>
              <w:top w:type="dxa" w:w="60"/>
              <w:left w:type="dxa" w:w="110"/>
              <w:bottom w:type="dxa" w:w="60"/>
              <w:right w:type="dxa" w:w="90"/>
            </w:tcMar>
          </w:tcPr>
          <w:p>
            <w:r>
              <w:rPr>
                <w:b w:val="false"/>
                <w:bCs w:val="false"/>
                <w:color w:val="1A1A1A"/>
                <w:sz w:val="18"/>
                <w:szCs w:val="18"/>
              </w:rPr>
              <w:t xml:space="preserve">Context — already security-only.</w:t>
            </w:r>
          </w:p>
        </w:tc>
      </w:tr>
      <w:tr>
        <w:tc>
          <w:tcPr>
            <w:tcW w:type="dxa" w:w="1420"/>
            <w:shd w:fill="DCEFE2" w:color="auto" w:val="clear"/>
            <w:tcMar>
              <w:top w:type="dxa" w:w="60"/>
              <w:left w:type="dxa" w:w="110"/>
              <w:bottom w:type="dxa" w:w="60"/>
              <w:right w:type="dxa" w:w="90"/>
            </w:tcMar>
          </w:tcPr>
          <w:p>
            <w:r>
              <w:rPr>
                <w:b/>
                <w:bCs/>
                <w:color w:val="1A1A1A"/>
                <w:sz w:val="18"/>
                <w:szCs w:val="18"/>
              </w:rPr>
              <w:t xml:space="preserve">SQL Server 2022</w:t>
            </w:r>
          </w:p>
        </w:tc>
        <w:tc>
          <w:tcPr>
            <w:tcW w:type="dxa" w:w="1760"/>
            <w:shd w:fill="DCEFE2" w:color="auto" w:val="clear"/>
            <w:tcMar>
              <w:top w:type="dxa" w:w="60"/>
              <w:left w:type="dxa" w:w="110"/>
              <w:bottom w:type="dxa" w:w="60"/>
              <w:right w:type="dxa" w:w="90"/>
            </w:tcMar>
          </w:tcPr>
          <w:p>
            <w:r>
              <w:rPr>
                <w:b w:val="false"/>
                <w:bCs w:val="false"/>
                <w:color w:val="1A1A1A"/>
                <w:sz w:val="18"/>
                <w:szCs w:val="18"/>
              </w:rPr>
              <w:t xml:space="preserve">11 Jan 2028</w:t>
            </w:r>
          </w:p>
        </w:tc>
        <w:tc>
          <w:tcPr>
            <w:tcW w:type="dxa" w:w="1760"/>
            <w:shd w:fill="DCEFE2" w:color="auto" w:val="clear"/>
            <w:tcMar>
              <w:top w:type="dxa" w:w="60"/>
              <w:left w:type="dxa" w:w="110"/>
              <w:bottom w:type="dxa" w:w="60"/>
              <w:right w:type="dxa" w:w="90"/>
            </w:tcMar>
          </w:tcPr>
          <w:p>
            <w:r>
              <w:rPr>
                <w:b w:val="false"/>
                <w:bCs w:val="false"/>
                <w:color w:val="1A1A1A"/>
                <w:sz w:val="18"/>
                <w:szCs w:val="18"/>
              </w:rPr>
              <w:t xml:space="preserve">11 Jan 2033</w:t>
            </w:r>
          </w:p>
        </w:tc>
        <w:tc>
          <w:tcPr>
            <w:tcW w:type="dxa" w:w="1760"/>
            <w:shd w:fill="DCEFE2" w:color="auto" w:val="clear"/>
            <w:tcMar>
              <w:top w:type="dxa" w:w="60"/>
              <w:left w:type="dxa" w:w="110"/>
              <w:bottom w:type="dxa" w:w="60"/>
              <w:right w:type="dxa" w:w="90"/>
            </w:tcMar>
          </w:tcPr>
          <w:p>
            <w:r>
              <w:rPr>
                <w:b w:val="false"/>
                <w:bCs w:val="false"/>
                <w:color w:val="1A1A1A"/>
                <w:sz w:val="18"/>
                <w:szCs w:val="18"/>
              </w:rPr>
              <w:t xml:space="preserve">Jan 2036</w:t>
            </w:r>
          </w:p>
        </w:tc>
        <w:tc>
          <w:tcPr>
            <w:tcW w:type="dxa" w:w="3380"/>
            <w:shd w:fill="DCEFE2" w:color="auto" w:val="clear"/>
            <w:tcMar>
              <w:top w:type="dxa" w:w="60"/>
              <w:left w:type="dxa" w:w="110"/>
              <w:bottom w:type="dxa" w:w="60"/>
              <w:right w:type="dxa" w:w="90"/>
            </w:tcMar>
          </w:tcPr>
          <w:p>
            <w:r>
              <w:rPr>
                <w:b w:val="false"/>
                <w:bCs w:val="false"/>
                <w:color w:val="1A1A1A"/>
                <w:sz w:val="18"/>
                <w:szCs w:val="18"/>
              </w:rPr>
              <w:t xml:space="preserve">TARGET — full runway; no ESU needed until 2033.</w:t>
            </w:r>
          </w:p>
        </w:tc>
      </w:tr>
    </w:tbl>
    <w:p>
      <w:pPr>
        <w:pBdr>
          <w:bottom w:val="single" w:color="C7CDD6" w:sz="6" w:space="4"/>
        </w:pBdr>
        <w:spacing w:after="80" w:before="168"/>
      </w:pPr>
      <w:r>
        <w:rPr>
          <w:b/>
          <w:bCs/>
          <w:color w:val="1F3A5F"/>
          <w:sz w:val="22"/>
          <w:szCs w:val="22"/>
        </w:rPr>
        <w:t xml:space="preserve">Timeline at a glance</w:t>
      </w:r>
    </w:p>
    <w:tbl>
      <w:tblPr>
        <w:tblW w:type="dxa" w:w="10065"/>
        <w:tblBorders>
          <w:top w:val="none" w:color="FFFFFF" w:sz="0"/>
          <w:left w:val="none" w:color="FFFFFF" w:sz="0"/>
          <w:bottom w:val="none" w:color="FFFFFF" w:sz="0"/>
          <w:right w:val="none" w:color="FFFFFF" w:sz="0"/>
          <w:insideH w:val="single" w:color="FFFFFF" w:sz="2"/>
          <w:insideV w:val="single" w:color="FFFFFF" w:sz="2"/>
        </w:tblBorders>
      </w:tblPr>
      <w:tblGrid>
        <w:gridCol w:w="1740"/>
        <w:gridCol w:w="555"/>
        <w:gridCol w:w="555"/>
        <w:gridCol w:w="555"/>
        <w:gridCol w:w="555"/>
        <w:gridCol w:w="555"/>
        <w:gridCol w:w="555"/>
        <w:gridCol w:w="555"/>
        <w:gridCol w:w="555"/>
        <w:gridCol w:w="555"/>
        <w:gridCol w:w="555"/>
        <w:gridCol w:w="555"/>
        <w:gridCol w:w="555"/>
        <w:gridCol w:w="555"/>
        <w:gridCol w:w="555"/>
        <w:gridCol w:w="555"/>
      </w:tblGrid>
      <w:tr>
        <w:tc>
          <w:tcPr>
            <w:tcW w:type="dxa" w:w="1740"/>
            <w:tcMar>
              <w:top w:type="dxa" w:w="20"/>
              <w:left w:type="dxa" w:w="90"/>
              <w:bottom w:type="dxa" w:w="20"/>
              <w:right w:type="dxa" w:w="20"/>
            </w:tcMar>
          </w:tcPr>
          <w:p>
            <w:r>
              <w:rPr>
                <w:b/>
                <w:bCs/>
                <w:color w:val="4A5568"/>
                <w:sz w:val="15"/>
                <w:szCs w:val="15"/>
              </w:rPr>
              <w:t xml:space="preserve">Version</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'21</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'22</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'23</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'24</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'25</w:t>
            </w:r>
          </w:p>
        </w:tc>
        <w:tc>
          <w:tcPr>
            <w:tcW w:type="dxa" w:w="555"/>
            <w:shd w:fill="1F3A5F" w:color="auto" w:val="clear"/>
            <w:tcMar>
              <w:top w:type="dxa" w:w="30"/>
              <w:left w:type="dxa" w:w="0"/>
              <w:bottom w:type="dxa" w:w="30"/>
              <w:right w:type="dxa" w:w="0"/>
            </w:tcMar>
          </w:tcPr>
          <w:p>
            <w:pPr>
              <w:jc w:val="center"/>
            </w:pPr>
            <w:r>
              <w:rPr>
                <w:b/>
                <w:bCs/>
                <w:color w:val="FFFFFF"/>
                <w:sz w:val="15"/>
                <w:szCs w:val="15"/>
              </w:rPr>
              <w:t xml:space="preserve">'26</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'27</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'28</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'29</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'30</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'31</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'32</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'33</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'34</w:t>
            </w:r>
          </w:p>
        </w:tc>
        <w:tc>
          <w:tcPr>
            <w:tcW w:type="dxa" w:w="555"/>
            <w:shd w:fill="EEF1F5" w:color="auto" w:val="clear"/>
            <w:tcMar>
              <w:top w:type="dxa" w:w="30"/>
              <w:left w:type="dxa" w:w="0"/>
              <w:bottom w:type="dxa" w:w="30"/>
              <w:right w:type="dxa" w:w="0"/>
            </w:tcMar>
          </w:tcPr>
          <w:p>
            <w:pPr>
              <w:jc w:val="center"/>
            </w:pPr>
            <w:r>
              <w:rPr>
                <w:b w:val="false"/>
                <w:bCs w:val="false"/>
                <w:color w:val="4A5568"/>
                <w:sz w:val="15"/>
                <w:szCs w:val="15"/>
              </w:rPr>
              <w:t xml:space="preserve">'35</w:t>
            </w:r>
          </w:p>
        </w:tc>
      </w:tr>
      <w:tr>
        <w:trPr>
          <w:trHeight w:val="300" w:hRule="atLeast"/>
        </w:trPr>
        <w:tc>
          <w:tcPr>
            <w:tcW w:type="dxa" w:w="1740"/>
            <w:tcMar>
              <w:top w:type="dxa" w:w="40"/>
              <w:left w:type="dxa" w:w="90"/>
              <w:bottom w:type="dxa" w:w="40"/>
              <w:right w:type="dxa" w:w="60"/>
            </w:tcMar>
            <w:vAlign w:val="center"/>
          </w:tcPr>
          <w:p>
            <w:r>
              <w:rPr>
                <w:b/>
                <w:bCs/>
                <w:color w:val="1A1A1A"/>
                <w:sz w:val="17"/>
                <w:szCs w:val="17"/>
              </w:rPr>
              <w:t xml:space="preserve">SQL 2016</w:t>
            </w:r>
          </w:p>
        </w:tc>
        <w:tc>
          <w:tcPr>
            <w:tcW w:type="dxa" w:w="555"/>
            <w:gridSpan w:val="1"/>
            <w:shd w:fill="1E7A46" w:color="auto" w:val="clear"/>
            <w:tcMar>
              <w:top w:type="dxa" w:w="30"/>
              <w:left w:type="dxa" w:w="10"/>
              <w:bottom w:type="dxa" w:w="30"/>
              <w:right w:type="dxa" w:w="10"/>
            </w:tcMar>
          </w:tcPr>
          <w:p>
            <w:pPr>
              <w:spacing w:after="0"/>
            </w:pPr>
          </w:p>
        </w:tc>
        <w:tc>
          <w:tcPr>
            <w:tcW w:type="dxa" w:w="2775"/>
            <w:gridSpan w:val="5"/>
            <w:shd w:fill="C8901A" w:color="auto" w:val="clear"/>
            <w:tcMar>
              <w:top w:type="dxa" w:w="30"/>
              <w:left w:type="dxa" w:w="10"/>
              <w:bottom w:type="dxa" w:w="30"/>
              <w:right w:type="dxa" w:w="10"/>
            </w:tcMar>
          </w:tcPr>
          <w:p>
            <w:pPr>
              <w:spacing w:after="0"/>
            </w:pPr>
          </w:p>
        </w:tc>
        <w:tc>
          <w:tcPr>
            <w:tcW w:type="dxa" w:w="1665"/>
            <w:gridSpan w:val="3"/>
            <w:shd w:fill="9A2B2B" w:color="auto" w:val="clear"/>
            <w:tcMar>
              <w:top w:type="dxa" w:w="30"/>
              <w:left w:type="dxa" w:w="10"/>
              <w:bottom w:type="dxa" w:w="30"/>
              <w:right w:type="dxa" w:w="10"/>
            </w:tcMar>
          </w:tcPr>
          <w:p>
            <w:pPr>
              <w:spacing w:after="0"/>
            </w:pPr>
          </w:p>
        </w:tc>
        <w:tc>
          <w:tcPr>
            <w:tcW w:type="dxa" w:w="3330"/>
            <w:gridSpan w:val="6"/>
            <w:tcMar>
              <w:top w:type="dxa" w:w="30"/>
              <w:left w:type="dxa" w:w="10"/>
              <w:bottom w:type="dxa" w:w="30"/>
              <w:right w:type="dxa" w:w="10"/>
            </w:tcMar>
          </w:tcPr>
          <w:p>
            <w:pPr>
              <w:spacing w:after="0"/>
            </w:pPr>
          </w:p>
        </w:tc>
      </w:tr>
      <w:tr>
        <w:trPr>
          <w:trHeight w:val="300" w:hRule="atLeast"/>
        </w:trPr>
        <w:tc>
          <w:tcPr>
            <w:tcW w:type="dxa" w:w="1740"/>
            <w:tcMar>
              <w:top w:type="dxa" w:w="40"/>
              <w:left w:type="dxa" w:w="90"/>
              <w:bottom w:type="dxa" w:w="40"/>
              <w:right w:type="dxa" w:w="60"/>
            </w:tcMar>
            <w:vAlign w:val="center"/>
          </w:tcPr>
          <w:p>
            <w:r>
              <w:rPr>
                <w:b/>
                <w:bCs/>
                <w:color w:val="1A1A1A"/>
                <w:sz w:val="17"/>
                <w:szCs w:val="17"/>
              </w:rPr>
              <w:t xml:space="preserve">SQL 2017</w:t>
            </w:r>
          </w:p>
        </w:tc>
        <w:tc>
          <w:tcPr>
            <w:tcW w:type="dxa" w:w="1110"/>
            <w:gridSpan w:val="2"/>
            <w:shd w:fill="1E7A46" w:color="auto" w:val="clear"/>
            <w:tcMar>
              <w:top w:type="dxa" w:w="30"/>
              <w:left w:type="dxa" w:w="10"/>
              <w:bottom w:type="dxa" w:w="30"/>
              <w:right w:type="dxa" w:w="10"/>
            </w:tcMar>
          </w:tcPr>
          <w:p>
            <w:pPr>
              <w:spacing w:after="0"/>
            </w:pPr>
          </w:p>
        </w:tc>
        <w:tc>
          <w:tcPr>
            <w:tcW w:type="dxa" w:w="2775"/>
            <w:gridSpan w:val="5"/>
            <w:shd w:fill="C8901A" w:color="auto" w:val="clear"/>
            <w:tcMar>
              <w:top w:type="dxa" w:w="30"/>
              <w:left w:type="dxa" w:w="10"/>
              <w:bottom w:type="dxa" w:w="30"/>
              <w:right w:type="dxa" w:w="10"/>
            </w:tcMar>
          </w:tcPr>
          <w:p>
            <w:pPr>
              <w:spacing w:after="0"/>
            </w:pPr>
          </w:p>
        </w:tc>
        <w:tc>
          <w:tcPr>
            <w:tcW w:type="dxa" w:w="1665"/>
            <w:gridSpan w:val="3"/>
            <w:shd w:fill="9A2B2B" w:color="auto" w:val="clear"/>
            <w:tcMar>
              <w:top w:type="dxa" w:w="30"/>
              <w:left w:type="dxa" w:w="10"/>
              <w:bottom w:type="dxa" w:w="30"/>
              <w:right w:type="dxa" w:w="10"/>
            </w:tcMar>
          </w:tcPr>
          <w:p>
            <w:pPr>
              <w:spacing w:after="0"/>
            </w:pPr>
          </w:p>
        </w:tc>
        <w:tc>
          <w:tcPr>
            <w:tcW w:type="dxa" w:w="2775"/>
            <w:gridSpan w:val="5"/>
            <w:tcMar>
              <w:top w:type="dxa" w:w="30"/>
              <w:left w:type="dxa" w:w="10"/>
              <w:bottom w:type="dxa" w:w="30"/>
              <w:right w:type="dxa" w:w="10"/>
            </w:tcMar>
          </w:tcPr>
          <w:p>
            <w:pPr>
              <w:spacing w:after="0"/>
            </w:pPr>
          </w:p>
        </w:tc>
      </w:tr>
      <w:tr>
        <w:trPr>
          <w:trHeight w:val="300" w:hRule="atLeast"/>
        </w:trPr>
        <w:tc>
          <w:tcPr>
            <w:tcW w:type="dxa" w:w="1740"/>
            <w:tcMar>
              <w:top w:type="dxa" w:w="40"/>
              <w:left w:type="dxa" w:w="90"/>
              <w:bottom w:type="dxa" w:w="40"/>
              <w:right w:type="dxa" w:w="60"/>
            </w:tcMar>
            <w:vAlign w:val="center"/>
          </w:tcPr>
          <w:p>
            <w:r>
              <w:rPr>
                <w:b/>
                <w:bCs/>
                <w:color w:val="1A1A1A"/>
                <w:sz w:val="17"/>
                <w:szCs w:val="17"/>
              </w:rPr>
              <w:t xml:space="preserve">SQL 2019</w:t>
            </w:r>
          </w:p>
        </w:tc>
        <w:tc>
          <w:tcPr>
            <w:tcW w:type="dxa" w:w="2775"/>
            <w:gridSpan w:val="5"/>
            <w:shd w:fill="1E7A46" w:color="auto" w:val="clear"/>
            <w:tcMar>
              <w:top w:type="dxa" w:w="30"/>
              <w:left w:type="dxa" w:w="10"/>
              <w:bottom w:type="dxa" w:w="30"/>
              <w:right w:type="dxa" w:w="10"/>
            </w:tcMar>
          </w:tcPr>
          <w:p>
            <w:pPr>
              <w:spacing w:after="0"/>
            </w:pPr>
          </w:p>
        </w:tc>
        <w:tc>
          <w:tcPr>
            <w:tcW w:type="dxa" w:w="2775"/>
            <w:gridSpan w:val="5"/>
            <w:shd w:fill="C8901A" w:color="auto" w:val="clear"/>
            <w:tcMar>
              <w:top w:type="dxa" w:w="30"/>
              <w:left w:type="dxa" w:w="10"/>
              <w:bottom w:type="dxa" w:w="30"/>
              <w:right w:type="dxa" w:w="10"/>
            </w:tcMar>
          </w:tcPr>
          <w:p>
            <w:pPr>
              <w:spacing w:after="0"/>
            </w:pPr>
          </w:p>
        </w:tc>
        <w:tc>
          <w:tcPr>
            <w:tcW w:type="dxa" w:w="1665"/>
            <w:gridSpan w:val="3"/>
            <w:shd w:fill="9A2B2B" w:color="auto" w:val="clear"/>
            <w:tcMar>
              <w:top w:type="dxa" w:w="30"/>
              <w:left w:type="dxa" w:w="10"/>
              <w:bottom w:type="dxa" w:w="30"/>
              <w:right w:type="dxa" w:w="10"/>
            </w:tcMar>
          </w:tcPr>
          <w:p>
            <w:pPr>
              <w:spacing w:after="0"/>
            </w:pPr>
          </w:p>
        </w:tc>
        <w:tc>
          <w:tcPr>
            <w:tcW w:type="dxa" w:w="1110"/>
            <w:gridSpan w:val="2"/>
            <w:tcMar>
              <w:top w:type="dxa" w:w="30"/>
              <w:left w:type="dxa" w:w="10"/>
              <w:bottom w:type="dxa" w:w="30"/>
              <w:right w:type="dxa" w:w="10"/>
            </w:tcMar>
          </w:tcPr>
          <w:p>
            <w:pPr>
              <w:spacing w:after="0"/>
            </w:pPr>
          </w:p>
        </w:tc>
      </w:tr>
      <w:tr>
        <w:trPr>
          <w:trHeight w:val="300" w:hRule="atLeast"/>
        </w:trPr>
        <w:tc>
          <w:tcPr>
            <w:tcW w:type="dxa" w:w="1740"/>
            <w:tcMar>
              <w:top w:type="dxa" w:w="40"/>
              <w:left w:type="dxa" w:w="90"/>
              <w:bottom w:type="dxa" w:w="40"/>
              <w:right w:type="dxa" w:w="60"/>
            </w:tcMar>
            <w:vAlign w:val="center"/>
          </w:tcPr>
          <w:p>
            <w:r>
              <w:rPr>
                <w:b/>
                <w:bCs/>
                <w:color w:val="1A1A1A"/>
                <w:sz w:val="17"/>
                <w:szCs w:val="17"/>
              </w:rPr>
              <w:t xml:space="preserve">SQL 2022</w:t>
            </w:r>
          </w:p>
        </w:tc>
        <w:tc>
          <w:tcPr>
            <w:tcW w:type="dxa" w:w="1110"/>
            <w:gridSpan w:val="2"/>
            <w:tcMar>
              <w:top w:type="dxa" w:w="30"/>
              <w:left w:type="dxa" w:w="10"/>
              <w:bottom w:type="dxa" w:w="30"/>
              <w:right w:type="dxa" w:w="10"/>
            </w:tcMar>
          </w:tcPr>
          <w:p>
            <w:pPr>
              <w:spacing w:after="0"/>
            </w:pPr>
          </w:p>
        </w:tc>
        <w:tc>
          <w:tcPr>
            <w:tcW w:type="dxa" w:w="3330"/>
            <w:gridSpan w:val="6"/>
            <w:shd w:fill="1E7A46" w:color="auto" w:val="clear"/>
            <w:tcMar>
              <w:top w:type="dxa" w:w="30"/>
              <w:left w:type="dxa" w:w="10"/>
              <w:bottom w:type="dxa" w:w="30"/>
              <w:right w:type="dxa" w:w="10"/>
            </w:tcMar>
          </w:tcPr>
          <w:p>
            <w:pPr>
              <w:spacing w:after="0"/>
            </w:pPr>
          </w:p>
        </w:tc>
        <w:tc>
          <w:tcPr>
            <w:tcW w:type="dxa" w:w="2775"/>
            <w:gridSpan w:val="5"/>
            <w:shd w:fill="C8901A" w:color="auto" w:val="clear"/>
            <w:tcMar>
              <w:top w:type="dxa" w:w="30"/>
              <w:left w:type="dxa" w:w="10"/>
              <w:bottom w:type="dxa" w:w="30"/>
              <w:right w:type="dxa" w:w="10"/>
            </w:tcMar>
          </w:tcPr>
          <w:p>
            <w:pPr>
              <w:spacing w:after="0"/>
            </w:pPr>
          </w:p>
        </w:tc>
        <w:tc>
          <w:tcPr>
            <w:tcW w:type="dxa" w:w="1110"/>
            <w:gridSpan w:val="2"/>
            <w:shd w:fill="9A2B2B" w:color="auto" w:val="clear"/>
            <w:tcMar>
              <w:top w:type="dxa" w:w="30"/>
              <w:left w:type="dxa" w:w="10"/>
              <w:bottom w:type="dxa" w:w="30"/>
              <w:right w:type="dxa" w:w="10"/>
            </w:tcMar>
          </w:tcPr>
          <w:p>
            <w:pPr>
              <w:spacing w:after="0"/>
            </w:pPr>
          </w:p>
        </w:tc>
      </w:tr>
    </w:tbl>
    <w:p>
      <w:pPr>
        <w:spacing w:after="0" w:before="60"/>
      </w:pPr>
      <w:r>
        <w:rPr>
          <w:b/>
          <w:bCs/>
          <w:color w:val="1E7A46"/>
          <w:sz w:val="15"/>
          <w:szCs w:val="15"/>
        </w:rPr>
        <w:t xml:space="preserve">Green = Mainstream   </w:t>
      </w:r>
      <w:r>
        <w:rPr>
          <w:b/>
          <w:bCs/>
          <w:color w:val="C8901A"/>
          <w:sz w:val="15"/>
          <w:szCs w:val="15"/>
        </w:rPr>
        <w:t xml:space="preserve">Amber = Extended   </w:t>
      </w:r>
      <w:r>
        <w:rPr>
          <w:b/>
          <w:bCs/>
          <w:color w:val="9A2B2B"/>
          <w:sz w:val="15"/>
          <w:szCs w:val="15"/>
        </w:rPr>
        <w:t xml:space="preserve">Red = ESU bridge (paid, SA required)</w:t>
      </w:r>
      <w:r>
        <w:rPr>
          <w:i/>
          <w:iCs/>
          <w:color w:val="6B7280"/>
          <w:sz w:val="15"/>
          <w:szCs w:val="15"/>
        </w:rPr>
        <w:t xml:space="preserve">     The '26 column (highlighted) is where SQL 2016 leaves Extended support.</w:t>
      </w:r>
    </w:p>
    <w:p>
      <w:pPr>
        <w:spacing w:after="0" w:before="20"/>
      </w:pPr>
      <w:r>
        <w:rPr>
          <w:i/>
          <w:iCs/>
          <w:color w:val="9AA3AF"/>
          <w:sz w:val="14"/>
          <w:szCs w:val="14"/>
        </w:rPr>
        <w:t xml:space="preserve">Bands are shown at year granularity; exact dates are in the table above.</w:t>
      </w:r>
    </w:p>
    <w:p>
      <w:pPr>
        <w:spacing w:before="160"/>
      </w:pPr>
    </w:p>
    <w:tbl>
      <w:tblPr>
        <w:tblW w:type="dxa" w:w="10080"/>
        <w:tblBorders>
          <w:top w:val="single" w:color="2E5077" w:sz="4"/>
          <w:left w:val="single" w:color="2E5077" w:sz="18"/>
          <w:bottom w:val="single" w:color="2E5077" w:sz="4"/>
          <w:right w:val="single" w:color="2E5077" w:sz="4"/>
          <w:insideH w:val="none" w:color="FFFFFF" w:sz="0"/>
          <w:insideV w:val="none" w:color="FFFFFF" w:sz="0"/>
        </w:tblBorders>
      </w:tblPr>
      <w:tblGrid>
        <w:gridCol w:w="10080"/>
      </w:tblGrid>
      <w:tr>
        <w:trPr>
          <w:cantSplit/>
        </w:trPr>
        <w:tc>
          <w:tcPr>
            <w:tcW w:type="dxa" w:w="10080"/>
            <w:shd w:fill="F2F4F7" w:color="auto" w:val="clear"/>
            <w:tcMar>
              <w:top w:type="dxa" w:w="120"/>
              <w:left w:type="dxa" w:w="200"/>
              <w:bottom w:type="dxa" w:w="120"/>
              <w:right w:type="dxa" w:w="200"/>
            </w:tcMar>
          </w:tcPr>
          <w:p>
            <w:pPr>
              <w:spacing w:after="0"/>
            </w:pPr>
          </w:p>
          <w:p>
            <w:r>
              <w:rPr>
                <w:i/>
                <w:iCs/>
                <w:color w:val="1A1A1A"/>
                <w:sz w:val="20"/>
                <w:szCs w:val="20"/>
              </w:rPr>
              <w:t xml:space="preserve">For this estate: SQL Server 2016 leaves Extended support on 14 July 2026, so every VM must either be cut over to 2022 or covered by an ESU subscription by that date to stay patched. SQL Server 2022 carries runway to 2028 (Mainstream) and 2033 (Extended) — no ESU consideration until then.</w:t>
            </w:r>
          </w:p>
        </w:tc>
      </w:tr>
    </w:tbl>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1F3A5F" w:color="auto" w:val="clear"/>
            <w:tcMar>
              <w:top w:type="dxa" w:w="80"/>
              <w:left w:type="dxa" w:w="160"/>
              <w:bottom w:type="dxa" w:w="80"/>
              <w:right w:type="dxa" w:w="160"/>
            </w:tcMar>
          </w:tcPr>
          <w:p>
            <w:pPr>
              <w:spacing w:after="20" w:before="60"/>
            </w:pPr>
            <w:r>
              <w:rPr>
                <w:b/>
                <w:bCs/>
                <w:color w:val="FFFFFF"/>
                <w:sz w:val="30"/>
                <w:szCs w:val="30"/>
              </w:rPr>
              <w:t xml:space="preserve">Parallel AI Estate — SQL Server 2025 (Dev / Test)</w:t>
            </w:r>
          </w:p>
          <w:p>
            <w:pPr>
              <w:spacing w:after="60"/>
            </w:pPr>
            <w:r>
              <w:rPr>
                <w:i/>
                <w:iCs/>
                <w:color w:val="DCE4EF"/>
                <w:sz w:val="18"/>
                <w:szCs w:val="18"/>
              </w:rPr>
              <w:t xml:space="preserve">A separate, self-contained track for evaluating offline vector / RAG — no production, no HA at this stage</w:t>
            </w:r>
          </w:p>
        </w:tc>
      </w:tr>
    </w:tbl>
    <w:tbl>
      <w:tblPr>
        <w:tblW w:type="dxa" w:w="10080"/>
        <w:tblBorders>
          <w:top w:val="single" w:color="C8901A" w:sz="4"/>
          <w:left w:val="single" w:color="C8901A" w:sz="18"/>
          <w:bottom w:val="single" w:color="C8901A" w:sz="4"/>
          <w:right w:val="single" w:color="C8901A" w:sz="4"/>
          <w:insideH w:val="none" w:color="FFFFFF" w:sz="0"/>
          <w:insideV w:val="none" w:color="FFFFFF" w:sz="0"/>
        </w:tblBorders>
      </w:tblPr>
      <w:tblGrid>
        <w:gridCol w:w="10080"/>
      </w:tblGrid>
      <w:tr>
        <w:trPr>
          <w:cantSplit/>
        </w:trPr>
        <w:tc>
          <w:tcPr>
            <w:tcW w:type="dxa" w:w="10080"/>
            <w:shd w:fill="FDF0D0" w:color="auto" w:val="clear"/>
            <w:tcMar>
              <w:top w:type="dxa" w:w="120"/>
              <w:left w:type="dxa" w:w="200"/>
              <w:bottom w:type="dxa" w:w="120"/>
              <w:right w:type="dxa" w:w="200"/>
            </w:tcMar>
          </w:tcPr>
          <w:p>
            <w:pPr>
              <w:spacing w:after="40"/>
            </w:pPr>
            <w:r>
              <w:rPr>
                <w:b/>
                <w:bCs/>
                <w:caps/>
                <w:color w:val="C8901A"/>
                <w:sz w:val="20"/>
                <w:szCs w:val="20"/>
              </w:rPr>
              <w:t xml:space="preserve">Scope</w:t>
            </w:r>
          </w:p>
          <w:p>
            <w:r>
              <w:rPr>
                <w:b/>
                <w:bCs/>
                <w:color w:val="1A1A1A"/>
                <w:sz w:val="21"/>
                <w:szCs w:val="21"/>
              </w:rPr>
              <w:t xml:space="preserve">Two SQL Server 2025 instances — one dev, one test — stood up solely to evaluate offline vector and RAG capabilities. </w:t>
            </w:r>
            <w:r>
              <w:rPr>
                <w:color w:val="1A1A1A"/>
                <w:sz w:val="21"/>
                <w:szCs w:val="21"/>
              </w:rPr>
              <w:t xml:space="preserve">No production instance and no High Availability at this stage. This estate is fully decoupled from the 2016 → 2022 production migration: its risk, patching, and lifecycle are managed independently and cannot touch the OLTP core.</w:t>
            </w:r>
          </w:p>
        </w:tc>
      </w:tr>
    </w:tbl>
    <w:p>
      <w:pPr>
        <w:pBdr>
          <w:bottom w:val="single" w:color="C7CDD6" w:sz="6" w:space="4"/>
        </w:pBdr>
        <w:spacing w:after="80" w:before="168"/>
      </w:pPr>
      <w:r>
        <w:rPr>
          <w:b/>
          <w:bCs/>
          <w:color w:val="1F3A5F"/>
          <w:sz w:val="22"/>
          <w:szCs w:val="22"/>
        </w:rPr>
        <w:t xml:space="preserve">Why keep it separate</w:t>
      </w:r>
    </w:p>
    <w:p>
      <w:pPr>
        <w:spacing w:after="80" w:line="264"/>
      </w:pPr>
      <w:r>
        <w:rPr>
          <w:color w:val="1A1A1A"/>
          <w:sz w:val="20"/>
          <w:szCs w:val="20"/>
        </w:rPr>
        <w:t xml:space="preserve">The two estates have opposite risk profiles. The 2022 migration is deadline-driven and needs a mature, known-good platform; vector / RAG on 2025 is a new, preview-dependent capability best explored in isolation. Coupling them would raise the migration's risk for no benefit. Decoupled, the AI track can fail, restart, or be flattened without any impact on production databases.</w:t>
      </w:r>
    </w:p>
    <w:p>
      <w:pPr>
        <w:pBdr>
          <w:bottom w:val="single" w:color="C7CDD6" w:sz="6" w:space="4"/>
        </w:pBdr>
        <w:spacing w:after="80" w:before="168"/>
      </w:pPr>
      <w:r>
        <w:rPr>
          <w:b/>
          <w:bCs/>
          <w:color w:val="1F3A5F"/>
          <w:sz w:val="22"/>
          <w:szCs w:val="22"/>
        </w:rPr>
        <w:t xml:space="preserve">What the dev/test-only, no-HA scope simplifies</w:t>
      </w:r>
    </w:p>
    <w:p>
      <w:pPr>
        <w:pStyle w:val="ListParagraph"/>
        <w:numPr>
          <w:ilvl w:val="0"/>
          <w:numId w:val="2"/>
        </w:numPr>
        <w:spacing w:after="60" w:line="258"/>
      </w:pPr>
      <w:r>
        <w:rPr>
          <w:b/>
          <w:bCs/>
          <w:color w:val="1A1A1A"/>
          <w:sz w:val="20"/>
          <w:szCs w:val="20"/>
        </w:rPr>
        <w:t xml:space="preserve">Preview features are a non-issue. </w:t>
      </w:r>
      <w:r>
        <w:rPr>
          <w:color w:val="1A1A1A"/>
          <w:sz w:val="20"/>
          <w:szCs w:val="20"/>
        </w:rPr>
        <w:t xml:space="preserve">VECTOR_SEARCH, DiskANN indexes and AI_GENERATE_EMBEDDINGS are exactly what dev/test exist to exercise, so PREVIEW_FEATURES = ON carries no risk here — you are evaluating, not depending on them.</w:t>
      </w:r>
    </w:p>
    <w:p>
      <w:pPr>
        <w:pStyle w:val="ListParagraph"/>
        <w:numPr>
          <w:ilvl w:val="0"/>
          <w:numId w:val="2"/>
        </w:numPr>
        <w:spacing w:after="60" w:line="258"/>
      </w:pPr>
      <w:r>
        <w:rPr>
          <w:b/>
          <w:bCs/>
          <w:color w:val="1A1A1A"/>
          <w:sz w:val="20"/>
          <w:szCs w:val="20"/>
        </w:rPr>
        <w:t xml:space="preserve">Zero SQL licensing. </w:t>
      </w:r>
      <w:r>
        <w:rPr>
          <w:color w:val="1A1A1A"/>
          <w:sz w:val="20"/>
          <w:szCs w:val="20"/>
        </w:rPr>
        <w:t xml:space="preserve">Both instances run on the free Developer edition (full feature parity, licensed for non-production), so the AI track adds no paid SQL footprint.</w:t>
      </w:r>
    </w:p>
    <w:p>
      <w:pPr>
        <w:pStyle w:val="ListParagraph"/>
        <w:numPr>
          <w:ilvl w:val="0"/>
          <w:numId w:val="2"/>
        </w:numPr>
        <w:spacing w:after="60" w:line="258"/>
      </w:pPr>
      <w:r>
        <w:rPr>
          <w:b/>
          <w:bCs/>
          <w:color w:val="1A1A1A"/>
          <w:sz w:val="20"/>
          <w:szCs w:val="20"/>
        </w:rPr>
        <w:t xml:space="preserve">No HA means no AG overhead. </w:t>
      </w:r>
      <w:r>
        <w:rPr>
          <w:color w:val="1A1A1A"/>
          <w:sz w:val="20"/>
          <w:szCs w:val="20"/>
        </w:rPr>
        <w:t xml:space="preserve">No anti-affinity, no storage-isolation tiering, no replica pairing for these two — they are rebuildable sandboxes. If one gets into a bad state, flatten and redeploy rather than nurse it.</w:t>
      </w:r>
    </w:p>
    <w:p>
      <w:pPr>
        <w:pBdr>
          <w:bottom w:val="single" w:color="C7CDD6" w:sz="6" w:space="4"/>
        </w:pBdr>
        <w:spacing w:after="80" w:before="168"/>
      </w:pPr>
      <w:r>
        <w:rPr>
          <w:b/>
          <w:bCs/>
          <w:color w:val="1F3A5F"/>
          <w:sz w:val="22"/>
          <w:szCs w:val="22"/>
        </w:rPr>
        <w:t xml:space="preserve">The real work is the local model-serving stack</w:t>
      </w:r>
    </w:p>
    <w:p>
      <w:pPr>
        <w:spacing w:after="90" w:line="264"/>
      </w:pPr>
      <w:r>
        <w:rPr>
          <w:color w:val="1A1A1A"/>
          <w:sz w:val="20"/>
          <w:szCs w:val="20"/>
        </w:rPr>
        <w:t xml:space="preserve">Standing up the SQL instances is trivial; the actual project is the offline inference pipeline, and its effort is the same whether there are two instances or three:</w:t>
      </w:r>
    </w:p>
    <w:p>
      <w:pPr>
        <w:pStyle w:val="ListParagraph"/>
        <w:numPr>
          <w:ilvl w:val="0"/>
          <w:numId w:val="2"/>
        </w:numPr>
        <w:spacing w:after="60" w:line="258"/>
      </w:pPr>
      <w:r>
        <w:rPr>
          <w:color w:val="1A1A1A"/>
          <w:sz w:val="20"/>
          <w:szCs w:val="20"/>
        </w:rPr>
        <w:t xml:space="preserve">Inference runtime inside the air-gap (Ollama, vLLM, NVIDIA NIM, or ONNX).</w:t>
      </w:r>
    </w:p>
    <w:p>
      <w:pPr>
        <w:pStyle w:val="ListParagraph"/>
        <w:numPr>
          <w:ilvl w:val="0"/>
          <w:numId w:val="2"/>
        </w:numPr>
        <w:spacing w:after="60" w:line="258"/>
      </w:pPr>
      <w:r>
        <w:rPr>
          <w:color w:val="1A1A1A"/>
          <w:sz w:val="20"/>
          <w:szCs w:val="20"/>
        </w:rPr>
        <w:t xml:space="preserve">Getting embedding models — and, for the generation half of RAG, an LLM — through the approved media-transfer process.</w:t>
      </w:r>
    </w:p>
    <w:p>
      <w:pPr>
        <w:pStyle w:val="ListParagraph"/>
        <w:numPr>
          <w:ilvl w:val="0"/>
          <w:numId w:val="2"/>
        </w:numPr>
        <w:spacing w:after="60" w:line="258"/>
      </w:pPr>
      <w:r>
        <w:rPr>
          <w:color w:val="1A1A1A"/>
          <w:sz w:val="20"/>
          <w:szCs w:val="20"/>
        </w:rPr>
        <w:t xml:space="preserve">HTTPS proxy and certificate lifecycle, since SQL Server only calls HTTPS endpoints.</w:t>
      </w:r>
    </w:p>
    <w:p>
      <w:pPr>
        <w:pStyle w:val="ListParagraph"/>
        <w:numPr>
          <w:ilvl w:val="0"/>
          <w:numId w:val="2"/>
        </w:numPr>
        <w:spacing w:after="60" w:line="258"/>
      </w:pPr>
      <w:r>
        <w:rPr>
          <w:color w:val="1A1A1A"/>
          <w:sz w:val="20"/>
          <w:szCs w:val="20"/>
        </w:rPr>
        <w:t xml:space="preserve">GPU provisioning on the VMs (vSphere passthrough or NVIDIA vGPU) — easy to under-scope; embedding and especially LLM inference want GPU.</w:t>
      </w:r>
    </w:p>
    <w:p>
      <w:pPr>
        <w:spacing w:after="40" w:line="264"/>
      </w:pPr>
      <w:r>
        <w:rPr>
          <w:color w:val="1A1A1A"/>
          <w:sz w:val="20"/>
          <w:szCs w:val="20"/>
        </w:rPr>
        <w:t xml:space="preserve">This is now fully de-risked: any false start stays inside a throwaway sandbox — the right place to hit these problems for the first time.</w:t>
      </w:r>
    </w:p>
    <w:p>
      <w:pPr>
        <w:pBdr>
          <w:bottom w:val="single" w:color="C7CDD6" w:sz="6" w:space="4"/>
        </w:pBdr>
        <w:spacing w:after="80" w:before="168"/>
      </w:pPr>
      <w:r>
        <w:rPr>
          <w:b/>
          <w:bCs/>
          <w:color w:val="1F3A5F"/>
          <w:sz w:val="22"/>
          <w:szCs w:val="22"/>
        </w:rPr>
        <w:t xml:space="preserve">Promotion gate — before any of this becomes production</w:t>
      </w:r>
    </w:p>
    <w:p>
      <w:pPr>
        <w:spacing w:after="90" w:line="264"/>
      </w:pPr>
      <w:r>
        <w:rPr>
          <w:color w:val="1A1A1A"/>
          <w:sz w:val="20"/>
          <w:szCs w:val="20"/>
        </w:rPr>
        <w:t xml:space="preserve">Dev + test is the correct ceiling for now. Promote to a production AI instance only when both of the following hold:</w:t>
      </w:r>
    </w:p>
    <w:p>
      <w:pPr>
        <w:pStyle w:val="ListParagraph"/>
        <w:numPr>
          <w:ilvl w:val="0"/>
          <w:numId w:val="2"/>
        </w:numPr>
        <w:spacing w:after="60" w:line="258"/>
      </w:pPr>
      <w:r>
        <w:rPr>
          <w:color w:val="1A1A1A"/>
          <w:sz w:val="20"/>
          <w:szCs w:val="20"/>
        </w:rPr>
        <w:t xml:space="preserve">A named production AI consumer exists, with a business owner — not exploratory interest.</w:t>
      </w:r>
    </w:p>
    <w:p>
      <w:pPr>
        <w:pStyle w:val="ListParagraph"/>
        <w:numPr>
          <w:ilvl w:val="0"/>
          <w:numId w:val="2"/>
        </w:numPr>
        <w:spacing w:after="60" w:line="258"/>
      </w:pPr>
      <w:r>
        <w:rPr>
          <w:color w:val="1A1A1A"/>
          <w:sz w:val="20"/>
          <w:szCs w:val="20"/>
        </w:rPr>
        <w:t xml:space="preserve">The key vector functions (VECTOR_SEARCH, CREATE VECTOR INDEX, AI_GENERATE_EMBEDDINGS) have reached GA. Until then the GA-only path is the VECTOR type + VECTOR_DISTANCE for exact-distance search.</w:t>
      </w:r>
    </w:p>
    <w:p>
      <w:pPr>
        <w:spacing w:before="100"/>
      </w:pPr>
    </w:p>
    <w:tbl>
      <w:tblPr>
        <w:tblW w:type="dxa" w:w="10080"/>
        <w:tblBorders>
          <w:top w:val="single" w:color="2E5077" w:sz="4"/>
          <w:left w:val="single" w:color="2E5077" w:sz="18"/>
          <w:bottom w:val="single" w:color="2E5077" w:sz="4"/>
          <w:right w:val="single" w:color="2E5077" w:sz="4"/>
          <w:insideH w:val="none" w:color="FFFFFF" w:sz="0"/>
          <w:insideV w:val="none" w:color="FFFFFF" w:sz="0"/>
        </w:tblBorders>
      </w:tblPr>
      <w:tblGrid>
        <w:gridCol w:w="10080"/>
      </w:tblGrid>
      <w:tr>
        <w:trPr>
          <w:cantSplit/>
        </w:trPr>
        <w:tc>
          <w:tcPr>
            <w:tcW w:type="dxa" w:w="10080"/>
            <w:shd w:fill="F2F4F7" w:color="auto" w:val="clear"/>
            <w:tcMar>
              <w:top w:type="dxa" w:w="120"/>
              <w:left w:type="dxa" w:w="200"/>
              <w:bottom w:type="dxa" w:w="120"/>
              <w:right w:type="dxa" w:w="200"/>
            </w:tcMar>
          </w:tcPr>
          <w:p>
            <w:pPr>
              <w:spacing w:after="0"/>
            </w:pPr>
          </w:p>
          <w:p>
            <w:r>
              <w:rPr>
                <w:i/>
                <w:iCs/>
                <w:color w:val="1A1A1A"/>
                <w:sz w:val="20"/>
                <w:szCs w:val="20"/>
              </w:rPr>
              <w:t xml:space="preserve">Two tracks, one strategy: SQL Server 2022 is the production modernisation on the 2016 EOL clock; the SQL Server 2025 dev/test pair is a self-contained evaluation track that proves out the offline AI pipeline without touching it.</w:t>
            </w:r>
          </w:p>
        </w:tc>
      </w:tr>
    </w:tbl>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1F3A5F" w:color="auto" w:val="clear"/>
            <w:tcMar>
              <w:top w:type="dxa" w:w="80"/>
              <w:left w:type="dxa" w:w="160"/>
              <w:bottom w:type="dxa" w:w="80"/>
              <w:right w:type="dxa" w:w="160"/>
            </w:tcMar>
          </w:tcPr>
          <w:p>
            <w:pPr>
              <w:spacing w:after="20" w:before="60"/>
            </w:pPr>
            <w:r>
              <w:rPr>
                <w:b/>
                <w:bCs/>
                <w:color w:val="FFFFFF"/>
                <w:sz w:val="30"/>
                <w:szCs w:val="30"/>
              </w:rPr>
              <w:t xml:space="preserve">In Plain Terms</w:t>
            </w:r>
          </w:p>
          <w:p>
            <w:pPr>
              <w:spacing w:after="60"/>
            </w:pPr>
            <w:r>
              <w:rPr>
                <w:i/>
                <w:iCs/>
                <w:color w:val="DCE4EF"/>
                <w:sz w:val="18"/>
                <w:szCs w:val="18"/>
              </w:rPr>
              <w:t xml:space="preserve">A summary for leadership</w:t>
            </w:r>
          </w:p>
        </w:tc>
      </w:tr>
    </w:tbl>
    <w:p>
      <w:pPr>
        <w:spacing w:after="60"/>
      </w:pPr>
    </w:p>
    <w:p>
      <w:pPr>
        <w:spacing w:after="120" w:line="264"/>
      </w:pPr>
      <w:r>
        <w:rPr>
          <w:color w:val="1A1A1A"/>
          <w:sz w:val="20"/>
          <w:szCs w:val="20"/>
        </w:rPr>
        <w:t xml:space="preserve">Our SQL Server 2016 systems reach the end of their supported life in July 2026, so standing still is not an option — every database has to move. We are moving them to SQL Server 2022 rather than the newer 2025 release, and the reason is simple: maturity. SQL Server 2022 has been running in businesses around the world for years. Its issues are known and fixed, and our entire migration plan is already built and tested around it. SQL Server 2025 is only months old. Putting our most important systems onto a brand-new release, against a hard deadline, would add risk without giving us anything we can actually use today.</w:t>
      </w:r>
    </w:p>
    <w:p>
      <w:pPr>
        <w:spacing w:after="120" w:line="264"/>
      </w:pPr>
      <w:r>
        <w:rPr>
          <w:color w:val="1A1A1A"/>
          <w:sz w:val="20"/>
          <w:szCs w:val="20"/>
        </w:rPr>
        <w:t xml:space="preserve">Choosing 2022 costs us nothing in longevity. Microsoft fully supports it into 2028, with security cover running to 2033 — years of runway. There is no pressure to be on 2025 now, and no penalty for letting it prove itself first.</w:t>
      </w:r>
    </w:p>
    <w:p>
      <w:pPr>
        <w:spacing w:after="140" w:line="264"/>
      </w:pPr>
      <w:r>
        <w:rPr>
          <w:color w:val="1A1A1A"/>
          <w:sz w:val="20"/>
          <w:szCs w:val="20"/>
        </w:rPr>
        <w:t xml:space="preserve">And when the time is right, moving from 2022 to 2025 will be a small, low-risk step — not another major project. It is a single-version move on a modern, stable foundation we will already own, done calmly on our own schedule once 2025 has matured. By contrast, jumping straight from the decade-old 2016 to a first-week 2025 today would be the hardest and riskiest path available.</w:t>
      </w:r>
    </w:p>
    <w:tbl>
      <w:tblPr>
        <w:tblW w:type="dxa" w:w="10080"/>
        <w:tblBorders>
          <w:top w:val="single" w:color="C8901A" w:sz="4"/>
          <w:left w:val="single" w:color="C8901A" w:sz="18"/>
          <w:bottom w:val="single" w:color="C8901A" w:sz="4"/>
          <w:right w:val="single" w:color="C8901A" w:sz="4"/>
          <w:insideH w:val="none" w:color="FFFFFF" w:sz="0"/>
          <w:insideV w:val="none" w:color="FFFFFF" w:sz="0"/>
        </w:tblBorders>
      </w:tblPr>
      <w:tblGrid>
        <w:gridCol w:w="10080"/>
      </w:tblGrid>
      <w:tr>
        <w:trPr>
          <w:cantSplit/>
        </w:trPr>
        <w:tc>
          <w:tcPr>
            <w:tcW w:type="dxa" w:w="10080"/>
            <w:shd w:fill="FDF0D0" w:color="auto" w:val="clear"/>
            <w:tcMar>
              <w:top w:type="dxa" w:w="120"/>
              <w:left w:type="dxa" w:w="200"/>
              <w:bottom w:type="dxa" w:w="120"/>
              <w:right w:type="dxa" w:w="200"/>
            </w:tcMar>
          </w:tcPr>
          <w:p>
            <w:pPr>
              <w:spacing w:after="40"/>
            </w:pPr>
            <w:r>
              <w:rPr>
                <w:b/>
                <w:bCs/>
                <w:caps/>
                <w:color w:val="C8901A"/>
                <w:sz w:val="20"/>
                <w:szCs w:val="20"/>
              </w:rPr>
              <w:t xml:space="preserve">The bottom line</w:t>
            </w:r>
          </w:p>
          <w:p>
            <w:r>
              <w:rPr>
                <w:b/>
                <w:bCs/>
                <w:color w:val="1A1A1A"/>
                <w:sz w:val="21"/>
                <w:szCs w:val="21"/>
              </w:rPr>
              <w:t xml:space="preserve">We get off the ticking clock now, on proven technology — and we adopt the newest version later, once it is safe and simple to do so.</w:t>
            </w:r>
          </w:p>
        </w:tc>
      </w:tr>
    </w:tbl>
    <w:p>
      <w:pPr>
        <w:spacing w:before="140"/>
      </w:pPr>
      <w:r>
        <w:rPr>
          <w:i/>
          <w:iCs/>
          <w:color w:val="6B7280"/>
          <w:sz w:val="16"/>
          <w:szCs w:val="16"/>
        </w:rPr>
        <w:t xml:space="preserve">Prepared as front-matter for the Air-Gapped SQL Server 2016 → 2022 Migration Runbook.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2026-07-09T22:19:03.703Z</dcterms:created>
  <dcterms:modified xsi:type="dcterms:W3CDTF">2026-07-09T22:19:03.717Z</dcterms:modified>
</cp:coreProperties>
</file>

<file path=docProps/custom.xml><?xml version="1.0" encoding="utf-8"?>
<Properties xmlns="http://schemas.openxmlformats.org/officeDocument/2006/custom-properties" xmlns:vt="http://schemas.openxmlformats.org/officeDocument/2006/docPropsVTypes"/>
</file>