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64748B"/>
          <w:sz w:val="18"/>
          <w:szCs w:val="18"/>
        </w:rPr>
        <w:t xml:space="preserve">SQL Server Upgrade Programme  |  Decision Note</w:t>
      </w:r>
    </w:p>
    <w:p>
      <w:pPr>
        <w:spacing w:after="40"/>
      </w:pPr>
      <w:r>
        <w:rPr>
          <w:rFonts w:ascii="Calibri" w:cs="Calibri" w:eastAsia="Calibri" w:hAnsi="Calibri"/>
          <w:b/>
          <w:bCs/>
          <w:color w:val="1F3A5F"/>
          <w:sz w:val="40"/>
          <w:szCs w:val="40"/>
        </w:rPr>
        <w:t xml:space="preserve">Instance Consolidation Assessment</w:t>
      </w:r>
    </w:p>
    <w:p>
      <w:pPr>
        <w:pBdr>
          <w:bottom w:val="single" w:color="F59E0B" w:sz="12"/>
        </w:pBdr>
        <w:spacing w:after="200"/>
      </w:pPr>
      <w:r>
        <w:rPr>
          <w:rFonts w:ascii="Calibri" w:cs="Calibri" w:eastAsia="Calibri" w:hAnsi="Calibri"/>
          <w:i/>
          <w:iCs/>
          <w:color w:val="2E5077"/>
          <w:sz w:val="22"/>
          <w:szCs w:val="22"/>
        </w:rPr>
        <w:t xml:space="preserve">Collapsing a four-instance host into a single SQL Server 2022 instance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6960"/>
      </w:tblGrid>
      <w:tr>
        <w:trPr>
          <w:tblHeader/>
        </w:trPr>
        <w:tc>
          <w:tcPr>
            <w:tcW w:type="dxa" w:w="24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696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Detail</w:t>
            </w:r>
          </w:p>
        </w:tc>
      </w:tr>
      <w:tr>
        <w:tc>
          <w:tcPr>
            <w:tcW w:type="dxa" w:w="2400"/>
            <w:shd w:fill="FFFFFF" w:val="clear"/>
            <w:tcMar>
              <w:top w:type="dxa" w:w="60"/>
              <w:left w:type="dxa" w:w="110"/>
              <w:bottom w:type="dxa" w:w="60"/>
              <w:right w:type="dxa" w:w="110"/>
            </w:tcMar>
          </w:tcPr>
          <w:p>
            <w:r>
              <w:rPr>
                <w:rFonts w:ascii="Calibri" w:cs="Calibri" w:eastAsia="Calibri" w:hAnsi="Calibri"/>
                <w:color w:val="334155"/>
                <w:sz w:val="19"/>
                <w:szCs w:val="19"/>
              </w:rPr>
              <w:t xml:space="preserve">Programme</w:t>
            </w:r>
          </w:p>
        </w:tc>
        <w:tc>
          <w:tcPr>
            <w:tcW w:type="dxa" w:w="6960"/>
            <w:shd w:fill="FFFFFF" w:val="clear"/>
            <w:tcMar>
              <w:top w:type="dxa" w:w="60"/>
              <w:left w:type="dxa" w:w="110"/>
              <w:bottom w:type="dxa" w:w="60"/>
              <w:right w:type="dxa" w:w="110"/>
            </w:tcMar>
          </w:tcPr>
          <w:p>
            <w:r>
              <w:rPr>
                <w:rFonts w:ascii="Calibri" w:cs="Calibri" w:eastAsia="Calibri" w:hAnsi="Calibri"/>
                <w:color w:val="334155"/>
                <w:sz w:val="19"/>
                <w:szCs w:val="19"/>
              </w:rPr>
              <w:t xml:space="preserve">SQL Server 2016 → 2022 Migration (Windows Server 2025, Always On AG)</w:t>
            </w:r>
          </w:p>
        </w:tc>
      </w:tr>
      <w:tr>
        <w:tc>
          <w:tcPr>
            <w:tcW w:type="dxa" w:w="2400"/>
            <w:shd w:fill="F8FAFC" w:val="clear"/>
            <w:tcMar>
              <w:top w:type="dxa" w:w="60"/>
              <w:left w:type="dxa" w:w="110"/>
              <w:bottom w:type="dxa" w:w="60"/>
              <w:right w:type="dxa" w:w="110"/>
            </w:tcMar>
          </w:tcPr>
          <w:p>
            <w:r>
              <w:rPr>
                <w:rFonts w:ascii="Calibri" w:cs="Calibri" w:eastAsia="Calibri" w:hAnsi="Calibri"/>
                <w:color w:val="334155"/>
                <w:sz w:val="19"/>
                <w:szCs w:val="19"/>
              </w:rPr>
              <w:t xml:space="preserve">Subject host</w:t>
            </w:r>
          </w:p>
        </w:tc>
        <w:tc>
          <w:tcPr>
            <w:tcW w:type="dxa" w:w="6960"/>
            <w:shd w:fill="F8FAFC" w:val="clear"/>
            <w:tcMar>
              <w:top w:type="dxa" w:w="60"/>
              <w:left w:type="dxa" w:w="110"/>
              <w:bottom w:type="dxa" w:w="60"/>
              <w:right w:type="dxa" w:w="110"/>
            </w:tcMar>
          </w:tcPr>
          <w:p>
            <w:r>
              <w:rPr>
                <w:rFonts w:ascii="Calibri" w:cs="Calibri" w:eastAsia="Calibri" w:hAnsi="Calibri"/>
                <w:color w:val="334155"/>
                <w:sz w:val="19"/>
                <w:szCs w:val="19"/>
              </w:rPr>
              <w:t xml:space="preserve">[SERVER NAME] — 4 named instances, 2–4 databases each</w:t>
            </w:r>
          </w:p>
        </w:tc>
      </w:tr>
      <w:tr>
        <w:tc>
          <w:tcPr>
            <w:tcW w:type="dxa" w:w="2400"/>
            <w:shd w:fill="FFFFFF" w:val="clear"/>
            <w:tcMar>
              <w:top w:type="dxa" w:w="60"/>
              <w:left w:type="dxa" w:w="110"/>
              <w:bottom w:type="dxa" w:w="60"/>
              <w:right w:type="dxa" w:w="110"/>
            </w:tcMar>
          </w:tcPr>
          <w:p>
            <w:r>
              <w:rPr>
                <w:rFonts w:ascii="Calibri" w:cs="Calibri" w:eastAsia="Calibri" w:hAnsi="Calibri"/>
                <w:color w:val="334155"/>
                <w:sz w:val="19"/>
                <w:szCs w:val="19"/>
              </w:rPr>
              <w:t xml:space="preserve">Author / Lead DBA</w:t>
            </w:r>
          </w:p>
        </w:tc>
        <w:tc>
          <w:tcPr>
            <w:tcW w:type="dxa" w:w="6960"/>
            <w:shd w:fill="FFFFFF" w:val="clear"/>
            <w:tcMar>
              <w:top w:type="dxa" w:w="60"/>
              <w:left w:type="dxa" w:w="110"/>
              <w:bottom w:type="dxa" w:w="60"/>
              <w:right w:type="dxa" w:w="110"/>
            </w:tcMar>
          </w:tcPr>
          <w:p>
            <w:r>
              <w:rPr>
                <w:rFonts w:ascii="Calibri" w:cs="Calibri" w:eastAsia="Calibri" w:hAnsi="Calibri"/>
                <w:color w:val="334155"/>
                <w:sz w:val="19"/>
                <w:szCs w:val="19"/>
              </w:rPr>
              <w:t xml:space="preserve">[Lead DBA Name]</w:t>
            </w:r>
          </w:p>
        </w:tc>
      </w:tr>
      <w:tr>
        <w:tc>
          <w:tcPr>
            <w:tcW w:type="dxa" w:w="2400"/>
            <w:shd w:fill="F8FAFC" w:val="clear"/>
            <w:tcMar>
              <w:top w:type="dxa" w:w="60"/>
              <w:left w:type="dxa" w:w="110"/>
              <w:bottom w:type="dxa" w:w="60"/>
              <w:right w:type="dxa" w:w="110"/>
            </w:tcMar>
          </w:tcPr>
          <w:p>
            <w:r>
              <w:rPr>
                <w:rFonts w:ascii="Calibri" w:cs="Calibri" w:eastAsia="Calibri" w:hAnsi="Calibri"/>
                <w:color w:val="334155"/>
                <w:sz w:val="19"/>
                <w:szCs w:val="19"/>
              </w:rPr>
              <w:t xml:space="preserve">Status</w:t>
            </w:r>
          </w:p>
        </w:tc>
        <w:tc>
          <w:tcPr>
            <w:tcW w:type="dxa" w:w="6960"/>
            <w:shd w:fill="F8FAFC" w:val="clear"/>
            <w:tcMar>
              <w:top w:type="dxa" w:w="60"/>
              <w:left w:type="dxa" w:w="110"/>
              <w:bottom w:type="dxa" w:w="60"/>
              <w:right w:type="dxa" w:w="110"/>
            </w:tcMar>
          </w:tcPr>
          <w:p>
            <w:r>
              <w:rPr>
                <w:rFonts w:ascii="Calibri" w:cs="Calibri" w:eastAsia="Calibri" w:hAnsi="Calibri"/>
                <w:color w:val="334155"/>
                <w:sz w:val="19"/>
                <w:szCs w:val="19"/>
              </w:rPr>
              <w:t xml:space="preserve">Draft for review</w:t>
            </w:r>
          </w:p>
        </w:tc>
      </w:tr>
      <w:tr>
        <w:tc>
          <w:tcPr>
            <w:tcW w:type="dxa" w:w="2400"/>
            <w:shd w:fill="FFFFFF" w:val="clear"/>
            <w:tcMar>
              <w:top w:type="dxa" w:w="60"/>
              <w:left w:type="dxa" w:w="110"/>
              <w:bottom w:type="dxa" w:w="60"/>
              <w:right w:type="dxa" w:w="110"/>
            </w:tcMar>
          </w:tcPr>
          <w:p>
            <w:r>
              <w:rPr>
                <w:rFonts w:ascii="Calibri" w:cs="Calibri" w:eastAsia="Calibri" w:hAnsi="Calibri"/>
                <w:color w:val="334155"/>
                <w:sz w:val="19"/>
                <w:szCs w:val="19"/>
              </w:rPr>
              <w:t xml:space="preserve">Recommendation</w:t>
            </w:r>
          </w:p>
        </w:tc>
        <w:tc>
          <w:tcPr>
            <w:tcW w:type="dxa" w:w="6960"/>
            <w:shd w:fill="FFFFFF" w:val="clear"/>
            <w:tcMar>
              <w:top w:type="dxa" w:w="60"/>
              <w:left w:type="dxa" w:w="110"/>
              <w:bottom w:type="dxa" w:w="60"/>
              <w:right w:type="dxa" w:w="110"/>
            </w:tcMar>
          </w:tcPr>
          <w:p>
            <w:r>
              <w:rPr>
                <w:rFonts w:ascii="Calibri" w:cs="Calibri" w:eastAsia="Calibri" w:hAnsi="Calibri"/>
                <w:color w:val="334155"/>
                <w:sz w:val="19"/>
                <w:szCs w:val="19"/>
              </w:rPr>
              <w:t xml:space="preserve">Decouple from deadline migration; collapse as a separate change</w:t>
            </w:r>
          </w:p>
        </w:tc>
      </w:tr>
      <w:tr>
        <w:tc>
          <w:tcPr>
            <w:tcW w:type="dxa" w:w="2400"/>
            <w:shd w:fill="F8FAFC" w:val="clear"/>
            <w:tcMar>
              <w:top w:type="dxa" w:w="60"/>
              <w:left w:type="dxa" w:w="110"/>
              <w:bottom w:type="dxa" w:w="60"/>
              <w:right w:type="dxa" w:w="110"/>
            </w:tcMar>
          </w:tcPr>
          <w:p>
            <w:r>
              <w:rPr>
                <w:rFonts w:ascii="Calibri" w:cs="Calibri" w:eastAsia="Calibri" w:hAnsi="Calibri"/>
                <w:color w:val="334155"/>
                <w:sz w:val="19"/>
                <w:szCs w:val="19"/>
              </w:rPr>
              <w:t xml:space="preserve">Document version</w:t>
            </w:r>
          </w:p>
        </w:tc>
        <w:tc>
          <w:tcPr>
            <w:tcW w:type="dxa" w:w="6960"/>
            <w:shd w:fill="F8FAFC" w:val="clear"/>
            <w:tcMar>
              <w:top w:type="dxa" w:w="60"/>
              <w:left w:type="dxa" w:w="110"/>
              <w:bottom w:type="dxa" w:w="60"/>
              <w:right w:type="dxa" w:w="110"/>
            </w:tcMar>
          </w:tcPr>
          <w:p>
            <w:r>
              <w:rPr>
                <w:rFonts w:ascii="Calibri" w:cs="Calibri" w:eastAsia="Calibri" w:hAnsi="Calibri"/>
                <w:color w:val="334155"/>
                <w:sz w:val="19"/>
                <w:szCs w:val="19"/>
              </w:rPr>
              <w:t xml:space="preserve">v0.1</w:t>
            </w:r>
          </w:p>
        </w:tc>
      </w:tr>
      <w:tr>
        <w:tc>
          <w:tcPr>
            <w:tcW w:type="dxa" w:w="2400"/>
            <w:shd w:fill="FFFFFF" w:val="clear"/>
            <w:tcMar>
              <w:top w:type="dxa" w:w="60"/>
              <w:left w:type="dxa" w:w="110"/>
              <w:bottom w:type="dxa" w:w="60"/>
              <w:right w:type="dxa" w:w="110"/>
            </w:tcMar>
          </w:tcPr>
          <w:p>
            <w:r>
              <w:rPr>
                <w:rFonts w:ascii="Calibri" w:cs="Calibri" w:eastAsia="Calibri" w:hAnsi="Calibri"/>
                <w:color w:val="334155"/>
                <w:sz w:val="19"/>
                <w:szCs w:val="19"/>
              </w:rPr>
              <w:t xml:space="preserve">Date</w:t>
            </w:r>
          </w:p>
        </w:tc>
        <w:tc>
          <w:tcPr>
            <w:tcW w:type="dxa" w:w="6960"/>
            <w:shd w:fill="FFFFFF" w:val="clear"/>
            <w:tcMar>
              <w:top w:type="dxa" w:w="60"/>
              <w:left w:type="dxa" w:w="110"/>
              <w:bottom w:type="dxa" w:w="60"/>
              <w:right w:type="dxa" w:w="110"/>
            </w:tcMar>
          </w:tcPr>
          <w:p>
            <w:r>
              <w:rPr>
                <w:rFonts w:ascii="Calibri" w:cs="Calibri" w:eastAsia="Calibri" w:hAnsi="Calibri"/>
                <w:color w:val="334155"/>
                <w:sz w:val="19"/>
                <w:szCs w:val="19"/>
              </w:rPr>
              <w:t xml:space="preserve">12 July 2026</w:t>
            </w:r>
          </w:p>
        </w:tc>
      </w:tr>
    </w:tbl>
    <w:p>
      <w:pPr>
        <w:shd w:fill="1F3A5F" w:val="clear"/>
        <w:spacing w:after="160" w:before="260"/>
      </w:pPr>
      <w:r>
        <w:rPr>
          <w:rFonts w:ascii="Calibri" w:cs="Calibri" w:eastAsia="Calibri" w:hAnsi="Calibri"/>
          <w:b/>
          <w:bCs/>
          <w:color w:val="FFFFFF"/>
          <w:sz w:val="26"/>
          <w:szCs w:val="26"/>
        </w:rPr>
        <w:t xml:space="preserve">1   Purpose &amp; Scope</w:t>
      </w:r>
    </w:p>
    <w:p>
      <w:pPr>
        <w:spacing w:after="120"/>
      </w:pPr>
      <w:r>
        <w:rPr>
          <w:rFonts w:ascii="Calibri" w:cs="Calibri" w:eastAsia="Calibri" w:hAnsi="Calibri"/>
          <w:color w:val="334155"/>
          <w:sz w:val="21"/>
          <w:szCs w:val="21"/>
        </w:rPr>
        <w:t xml:space="preserve">This note assesses whether the four SQL Server instances on the subject host should be collapsed into a single instance as part of, or following, the SQL Server 2022 migration. It records the recommendation, the technical blockers and pain points, the pre-consolidation checks required, and the isolation design that makes a shared instance viable on this estate. It is a decision artifact for the Lead DBA and Project Manager, not a runbook — execution steps follow only once the checks below pass and consolidation is formally approved.</w:t>
      </w:r>
    </w:p>
    <w:p>
      <w:pPr>
        <w:shd w:fill="1F3A5F" w:val="clear"/>
        <w:spacing w:after="160" w:before="260"/>
      </w:pPr>
      <w:r>
        <w:rPr>
          <w:rFonts w:ascii="Calibri" w:cs="Calibri" w:eastAsia="Calibri" w:hAnsi="Calibri"/>
          <w:b/>
          <w:bCs/>
          <w:color w:val="FFFFFF"/>
          <w:sz w:val="26"/>
          <w:szCs w:val="26"/>
        </w:rPr>
        <w:t xml:space="preserve">2   Recommendation</w:t>
      </w:r>
    </w:p>
    <w:p>
      <w:pPr>
        <w:spacing w:after="120"/>
      </w:pPr>
      <w:r>
        <w:rPr>
          <w:rFonts w:ascii="Calibri" w:cs="Calibri" w:eastAsia="Calibri" w:hAnsi="Calibri"/>
          <w:b w:val="false"/>
          <w:bCs w:val="false"/>
          <w:color w:val="334155"/>
          <w:sz w:val="21"/>
          <w:szCs w:val="21"/>
        </w:rPr>
        <w:t xml:space="preserve">Collapsing the four instances into one is a sound long-term operability move, but it is optional on this estate and must not be bundled into the 2016 → 2022 deadline migration. The recommended sequence is:</w:t>
      </w:r>
    </w:p>
    <w:p>
      <w:pPr>
        <w:pStyle w:val="ListParagraph"/>
        <w:numPr>
          <w:ilvl w:val="0"/>
          <w:numId w:val="2"/>
        </w:numPr>
        <w:spacing w:after="80"/>
      </w:pPr>
      <w:r>
        <w:rPr>
          <w:rFonts w:ascii="Calibri" w:cs="Calibri" w:eastAsia="Calibri" w:hAnsi="Calibri"/>
          <w:b/>
          <w:bCs/>
          <w:color w:val="334155"/>
          <w:sz w:val="21"/>
          <w:szCs w:val="21"/>
        </w:rPr>
        <w:t xml:space="preserve">Migrate like-for-like first</w:t>
      </w:r>
      <w:r>
        <w:rPr>
          <w:rFonts w:ascii="Calibri" w:cs="Calibri" w:eastAsia="Calibri" w:hAnsi="Calibri"/>
          <w:color w:val="334155"/>
          <w:sz w:val="21"/>
          <w:szCs w:val="21"/>
        </w:rPr>
        <w:t xml:space="preserve">  — four instances to four instances on SQL Server 2022, preserving the current topology, and stabilise.</w:t>
      </w:r>
    </w:p>
    <w:p>
      <w:pPr>
        <w:pStyle w:val="ListParagraph"/>
        <w:numPr>
          <w:ilvl w:val="0"/>
          <w:numId w:val="2"/>
        </w:numPr>
        <w:spacing w:after="80"/>
      </w:pPr>
      <w:r>
        <w:rPr>
          <w:rFonts w:ascii="Calibri" w:cs="Calibri" w:eastAsia="Calibri" w:hAnsi="Calibri"/>
          <w:b/>
          <w:bCs/>
          <w:color w:val="334155"/>
          <w:sz w:val="21"/>
          <w:szCs w:val="21"/>
        </w:rPr>
        <w:t xml:space="preserve">Consolidate as a separate, gated change</w:t>
      </w:r>
      <w:r>
        <w:rPr>
          <w:rFonts w:ascii="Calibri" w:cs="Calibri" w:eastAsia="Calibri" w:hAnsi="Calibri"/>
          <w:color w:val="334155"/>
          <w:sz w:val="21"/>
          <w:szCs w:val="21"/>
        </w:rPr>
        <w:t xml:space="preserve">  — after stabilisation, with its own validation and rollback window, conditional on the collation, collision and AG-parity checks in Section 5 passing.</w:t>
      </w:r>
    </w:p>
    <w:p>
      <w:pPr>
        <w:pStyle w:val="ListParagraph"/>
        <w:numPr>
          <w:ilvl w:val="0"/>
          <w:numId w:val="2"/>
        </w:numPr>
        <w:spacing w:after="80"/>
      </w:pPr>
      <w:r>
        <w:rPr>
          <w:rFonts w:ascii="Calibri" w:cs="Calibri" w:eastAsia="Calibri" w:hAnsi="Calibri"/>
          <w:b/>
          <w:bCs/>
          <w:color w:val="334155"/>
          <w:sz w:val="21"/>
          <w:szCs w:val="21"/>
        </w:rPr>
        <w:t xml:space="preserve">Govern rather than physically separate</w:t>
      </w:r>
      <w:r>
        <w:rPr>
          <w:rFonts w:ascii="Calibri" w:cs="Calibri" w:eastAsia="Calibri" w:hAnsi="Calibri"/>
          <w:color w:val="334155"/>
          <w:sz w:val="21"/>
          <w:szCs w:val="21"/>
        </w:rPr>
        <w:t xml:space="preserve">  — with Enterprise edition confirmed across all replicas, use Resource Governor to isolate workloads inside the shared instance instead of keeping heavy workloads on their own engine.</w:t>
      </w:r>
    </w:p>
    <w:tbl>
      <w:tblPr>
        <w:tblW w:type="pct" w:w="10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40"/>
            </w:pPr>
            <w:r>
              <w:rPr>
                <w:rFonts w:ascii="Calibri" w:cs="Calibri" w:eastAsia="Calibri" w:hAnsi="Calibri"/>
                <w:b/>
                <w:bCs/>
                <w:color w:val="B45309"/>
                <w:sz w:val="21"/>
                <w:szCs w:val="21"/>
              </w:rPr>
              <w:t xml:space="preserve">▲  Timing</w:t>
            </w:r>
          </w:p>
          <w:p>
            <w:r>
              <w:rPr>
                <w:rFonts w:ascii="Calibri" w:cs="Calibri" w:eastAsia="Calibri" w:hAnsi="Calibri"/>
                <w:color w:val="78350F"/>
                <w:sz w:val="21"/>
                <w:szCs w:val="21"/>
              </w:rPr>
              <w:t xml:space="preserve">With SQL Server 2016 extended support ending 14 July 2026 and production instances still outstanding, bundling a consolidation into the cutover multiplies risk for zero deadline benefit. The collapse decision carries no deadline pressure of its own and should be scheduled deliberately after the estate is stable on 2022.</w:t>
            </w:r>
          </w:p>
        </w:tc>
      </w:tr>
    </w:tbl>
    <w:p>
      <w:pPr>
        <w:shd w:fill="1F3A5F" w:val="clear"/>
        <w:spacing w:after="160" w:before="260"/>
      </w:pPr>
      <w:r>
        <w:rPr>
          <w:rFonts w:ascii="Calibri" w:cs="Calibri" w:eastAsia="Calibri" w:hAnsi="Calibri"/>
          <w:b/>
          <w:bCs/>
          <w:color w:val="FFFFFF"/>
          <w:sz w:val="26"/>
          <w:szCs w:val="26"/>
        </w:rPr>
        <w:t xml:space="preserve">3   Corrected Topology &amp; Licensing Context</w:t>
      </w:r>
    </w:p>
    <w:p>
      <w:pPr>
        <w:spacing w:after="120"/>
      </w:pPr>
      <w:r>
        <w:rPr>
          <w:rFonts w:ascii="Calibri" w:cs="Calibri" w:eastAsia="Calibri" w:hAnsi="Calibri"/>
          <w:color w:val="334155"/>
          <w:sz w:val="21"/>
          <w:szCs w:val="21"/>
        </w:rPr>
        <w:t xml:space="preserve">The edition and licensing position materially shapes the business case for consolidation on this estate: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1400"/>
        <w:gridCol w:w="1700"/>
        <w:gridCol w:w="3760"/>
      </w:tblGrid>
      <w:tr>
        <w:trPr>
          <w:tblHeader/>
        </w:trPr>
        <w:tc>
          <w:tcPr>
            <w:tcW w:type="dxa" w:w="25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Replica</w:t>
            </w:r>
          </w:p>
        </w:tc>
        <w:tc>
          <w:tcPr>
            <w:tcW w:type="dxa" w:w="14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Edition</w:t>
            </w:r>
          </w:p>
        </w:tc>
        <w:tc>
          <w:tcPr>
            <w:tcW w:type="dxa" w:w="17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Licensing model</w:t>
            </w:r>
          </w:p>
        </w:tc>
        <w:tc>
          <w:tcPr>
            <w:tcW w:type="dxa" w:w="376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Consolidation implication</w:t>
            </w:r>
          </w:p>
        </w:tc>
      </w:tr>
      <w:tr>
        <w:tc>
          <w:tcPr>
            <w:tcW w:type="dxa" w:w="2500"/>
            <w:shd w:fill="FFFFFF" w:val="clear"/>
            <w:tcMar>
              <w:top w:type="dxa" w:w="60"/>
              <w:left w:type="dxa" w:w="110"/>
              <w:bottom w:type="dxa" w:w="60"/>
              <w:right w:type="dxa" w:w="110"/>
            </w:tcMar>
          </w:tcPr>
          <w:p>
            <w:r>
              <w:rPr>
                <w:rFonts w:ascii="Calibri" w:cs="Calibri" w:eastAsia="Calibri" w:hAnsi="Calibri"/>
                <w:color w:val="334155"/>
                <w:sz w:val="19"/>
                <w:szCs w:val="19"/>
              </w:rPr>
              <w:t xml:space="preserve">Site A — Primary (SQL-PROD-01)</w:t>
            </w:r>
          </w:p>
        </w:tc>
        <w:tc>
          <w:tcPr>
            <w:tcW w:type="dxa" w:w="1400"/>
            <w:shd w:fill="FFFFFF" w:val="clear"/>
            <w:tcMar>
              <w:top w:type="dxa" w:w="60"/>
              <w:left w:type="dxa" w:w="110"/>
              <w:bottom w:type="dxa" w:w="60"/>
              <w:right w:type="dxa" w:w="110"/>
            </w:tcMar>
          </w:tcPr>
          <w:p>
            <w:r>
              <w:rPr>
                <w:rFonts w:ascii="Calibri" w:cs="Calibri" w:eastAsia="Calibri" w:hAnsi="Calibri"/>
                <w:color w:val="334155"/>
                <w:sz w:val="19"/>
                <w:szCs w:val="19"/>
              </w:rPr>
              <w:t xml:space="preserve">Enterprise</w:t>
            </w:r>
          </w:p>
        </w:tc>
        <w:tc>
          <w:tcPr>
            <w:tcW w:type="dxa" w:w="1700"/>
            <w:shd w:fill="FFFFFF" w:val="clear"/>
            <w:tcMar>
              <w:top w:type="dxa" w:w="60"/>
              <w:left w:type="dxa" w:w="110"/>
              <w:bottom w:type="dxa" w:w="60"/>
              <w:right w:type="dxa" w:w="110"/>
            </w:tcMar>
          </w:tcPr>
          <w:p>
            <w:r>
              <w:rPr>
                <w:rFonts w:ascii="Calibri" w:cs="Calibri" w:eastAsia="Calibri" w:hAnsi="Calibri"/>
                <w:color w:val="334155"/>
                <w:sz w:val="19"/>
                <w:szCs w:val="19"/>
              </w:rPr>
              <w:t xml:space="preserve">Per physical host</w:t>
            </w:r>
          </w:p>
        </w:tc>
        <w:tc>
          <w:tcPr>
            <w:tcW w:type="dxa" w:w="3760"/>
            <w:shd w:fill="FFFFFF" w:val="clear"/>
            <w:tcMar>
              <w:top w:type="dxa" w:w="60"/>
              <w:left w:type="dxa" w:w="110"/>
              <w:bottom w:type="dxa" w:w="60"/>
              <w:right w:type="dxa" w:w="110"/>
            </w:tcMar>
          </w:tcPr>
          <w:p>
            <w:r>
              <w:rPr>
                <w:rFonts w:ascii="Calibri" w:cs="Calibri" w:eastAsia="Calibri" w:hAnsi="Calibri"/>
                <w:color w:val="334155"/>
                <w:sz w:val="19"/>
                <w:szCs w:val="19"/>
              </w:rPr>
              <w:t xml:space="preserve">No licensing saving from collapse — host cores are fully licensed regardless of instance count. Collapse is an operability decision only.</w:t>
            </w:r>
          </w:p>
        </w:tc>
      </w:tr>
      <w:tr>
        <w:tc>
          <w:tcPr>
            <w:tcW w:type="dxa" w:w="2500"/>
            <w:shd w:fill="F8FAFC" w:val="clear"/>
            <w:tcMar>
              <w:top w:type="dxa" w:w="60"/>
              <w:left w:type="dxa" w:w="110"/>
              <w:bottom w:type="dxa" w:w="60"/>
              <w:right w:type="dxa" w:w="110"/>
            </w:tcMar>
          </w:tcPr>
          <w:p>
            <w:r>
              <w:rPr>
                <w:rFonts w:ascii="Calibri" w:cs="Calibri" w:eastAsia="Calibri" w:hAnsi="Calibri"/>
                <w:color w:val="334155"/>
                <w:sz w:val="19"/>
                <w:szCs w:val="19"/>
              </w:rPr>
              <w:t xml:space="preserve">Site A — Secondary (SQL-PROD-02)</w:t>
            </w:r>
          </w:p>
        </w:tc>
        <w:tc>
          <w:tcPr>
            <w:tcW w:type="dxa" w:w="1400"/>
            <w:shd w:fill="F8FAFC" w:val="clear"/>
            <w:tcMar>
              <w:top w:type="dxa" w:w="60"/>
              <w:left w:type="dxa" w:w="110"/>
              <w:bottom w:type="dxa" w:w="60"/>
              <w:right w:type="dxa" w:w="110"/>
            </w:tcMar>
          </w:tcPr>
          <w:p>
            <w:r>
              <w:rPr>
                <w:rFonts w:ascii="Calibri" w:cs="Calibri" w:eastAsia="Calibri" w:hAnsi="Calibri"/>
                <w:color w:val="334155"/>
                <w:sz w:val="19"/>
                <w:szCs w:val="19"/>
              </w:rPr>
              <w:t xml:space="preserve">Enterprise</w:t>
            </w:r>
          </w:p>
        </w:tc>
        <w:tc>
          <w:tcPr>
            <w:tcW w:type="dxa" w:w="1700"/>
            <w:shd w:fill="F8FAFC" w:val="clear"/>
            <w:tcMar>
              <w:top w:type="dxa" w:w="60"/>
              <w:left w:type="dxa" w:w="110"/>
              <w:bottom w:type="dxa" w:w="60"/>
              <w:right w:type="dxa" w:w="110"/>
            </w:tcMar>
          </w:tcPr>
          <w:p>
            <w:r>
              <w:rPr>
                <w:rFonts w:ascii="Calibri" w:cs="Calibri" w:eastAsia="Calibri" w:hAnsi="Calibri"/>
                <w:color w:val="334155"/>
                <w:sz w:val="19"/>
                <w:szCs w:val="19"/>
              </w:rPr>
              <w:t xml:space="preserve">Per physical host</w:t>
            </w:r>
          </w:p>
        </w:tc>
        <w:tc>
          <w:tcPr>
            <w:tcW w:type="dxa" w:w="3760"/>
            <w:shd w:fill="F8FAFC" w:val="clear"/>
            <w:tcMar>
              <w:top w:type="dxa" w:w="60"/>
              <w:left w:type="dxa" w:w="110"/>
              <w:bottom w:type="dxa" w:w="60"/>
              <w:right w:type="dxa" w:w="110"/>
            </w:tcMar>
          </w:tcPr>
          <w:p>
            <w:r>
              <w:rPr>
                <w:rFonts w:ascii="Calibri" w:cs="Calibri" w:eastAsia="Calibri" w:hAnsi="Calibri"/>
                <w:color w:val="334155"/>
                <w:sz w:val="19"/>
                <w:szCs w:val="19"/>
              </w:rPr>
              <w:t xml:space="preserve">As above. Enterprise enables Resource Governor for in-instance isolation.</w:t>
            </w:r>
          </w:p>
        </w:tc>
      </w:tr>
      <w:tr>
        <w:tc>
          <w:tcPr>
            <w:tcW w:type="dxa" w:w="2500"/>
            <w:shd w:fill="FFFFFF" w:val="clear"/>
            <w:tcMar>
              <w:top w:type="dxa" w:w="60"/>
              <w:left w:type="dxa" w:w="110"/>
              <w:bottom w:type="dxa" w:w="60"/>
              <w:right w:type="dxa" w:w="110"/>
            </w:tcMar>
          </w:tcPr>
          <w:p>
            <w:r>
              <w:rPr>
                <w:rFonts w:ascii="Calibri" w:cs="Calibri" w:eastAsia="Calibri" w:hAnsi="Calibri"/>
                <w:color w:val="334155"/>
                <w:sz w:val="19"/>
                <w:szCs w:val="19"/>
              </w:rPr>
              <w:t xml:space="preserve">Site B — DR (SQL-DR-01)</w:t>
            </w:r>
          </w:p>
        </w:tc>
        <w:tc>
          <w:tcPr>
            <w:tcW w:type="dxa" w:w="1400"/>
            <w:shd w:fill="FFFFFF" w:val="clear"/>
            <w:tcMar>
              <w:top w:type="dxa" w:w="60"/>
              <w:left w:type="dxa" w:w="110"/>
              <w:bottom w:type="dxa" w:w="60"/>
              <w:right w:type="dxa" w:w="110"/>
            </w:tcMar>
          </w:tcPr>
          <w:p>
            <w:r>
              <w:rPr>
                <w:rFonts w:ascii="Calibri" w:cs="Calibri" w:eastAsia="Calibri" w:hAnsi="Calibri"/>
                <w:color w:val="334155"/>
                <w:sz w:val="19"/>
                <w:szCs w:val="19"/>
              </w:rPr>
              <w:t xml:space="preserve">Enterprise</w:t>
            </w:r>
          </w:p>
        </w:tc>
        <w:tc>
          <w:tcPr>
            <w:tcW w:type="dxa" w:w="1700"/>
            <w:shd w:fill="FFFFFF" w:val="clear"/>
            <w:tcMar>
              <w:top w:type="dxa" w:w="60"/>
              <w:left w:type="dxa" w:w="110"/>
              <w:bottom w:type="dxa" w:w="60"/>
              <w:right w:type="dxa" w:w="110"/>
            </w:tcMar>
          </w:tcPr>
          <w:p>
            <w:r>
              <w:rPr>
                <w:rFonts w:ascii="Calibri" w:cs="Calibri" w:eastAsia="Calibri" w:hAnsi="Calibri"/>
                <w:color w:val="334155"/>
                <w:sz w:val="19"/>
                <w:szCs w:val="19"/>
              </w:rPr>
              <w:t xml:space="preserve">Per VM (vCPU)</w:t>
            </w:r>
          </w:p>
        </w:tc>
        <w:tc>
          <w:tcPr>
            <w:tcW w:type="dxa" w:w="3760"/>
            <w:shd w:fill="FFFFFF" w:val="clear"/>
            <w:tcMar>
              <w:top w:type="dxa" w:w="60"/>
              <w:left w:type="dxa" w:w="110"/>
              <w:bottom w:type="dxa" w:w="60"/>
              <w:right w:type="dxa" w:w="110"/>
            </w:tcMar>
          </w:tcPr>
          <w:p>
            <w:r>
              <w:rPr>
                <w:rFonts w:ascii="Calibri" w:cs="Calibri" w:eastAsia="Calibri" w:hAnsi="Calibri"/>
                <w:color w:val="334155"/>
                <w:sz w:val="19"/>
                <w:szCs w:val="19"/>
              </w:rPr>
              <w:t xml:space="preserve">vCPU count drives cost only if the replica is licensable — see passive-secondary test in Section 7.</w:t>
            </w:r>
          </w:p>
        </w:tc>
      </w:tr>
    </w:tbl>
    <w:p>
      <w:pPr>
        <w:spacing w:after="120"/>
      </w:pPr>
      <w:r>
        <w:rPr>
          <w:rFonts w:ascii="Calibri" w:cs="Calibri" w:eastAsia="Calibri" w:hAnsi="Calibri"/>
          <w:color w:val="334155"/>
          <w:sz w:val="21"/>
          <w:szCs w:val="21"/>
        </w:rPr>
        <w:t xml:space="preserve">Two consequences follow. First, edition parity across all replicas is satisfied, so a full Always On Availability Group across all three replicas is supported and Resource Governor exists on every replica — the isolation design survives a failover to DR. Second, because the non-DR replicas are licensed per host, collapse yields no licensing saving on Site A; the decision there rests entirely on manageability and contention control.</w:t>
      </w:r>
    </w:p>
    <w:p>
      <w:pPr>
        <w:shd w:fill="1F3A5F" w:val="clear"/>
        <w:spacing w:after="160" w:before="260"/>
      </w:pPr>
      <w:r>
        <w:rPr>
          <w:rFonts w:ascii="Calibri" w:cs="Calibri" w:eastAsia="Calibri" w:hAnsi="Calibri"/>
          <w:b/>
          <w:bCs/>
          <w:color w:val="FFFFFF"/>
          <w:sz w:val="26"/>
          <w:szCs w:val="26"/>
        </w:rPr>
        <w:t xml:space="preserve">4   Blockers &amp; Pain Points</w:t>
      </w:r>
    </w:p>
    <w:p>
      <w:pPr>
        <w:pBdr>
          <w:bottom w:val="single" w:color="2E5077" w:sz="6"/>
        </w:pBdr>
        <w:spacing w:after="100" w:before="200"/>
      </w:pPr>
      <w:r>
        <w:rPr>
          <w:rFonts w:ascii="Calibri" w:cs="Calibri" w:eastAsia="Calibri" w:hAnsi="Calibri"/>
          <w:b/>
          <w:bCs/>
          <w:color w:val="2E5077"/>
          <w:sz w:val="24"/>
          <w:szCs w:val="24"/>
        </w:rPr>
        <w:t xml:space="preserve">4.1   Collation — the primary risk</w:t>
      </w:r>
    </w:p>
    <w:p>
      <w:pPr>
        <w:spacing w:after="120"/>
      </w:pPr>
      <w:r>
        <w:rPr>
          <w:rFonts w:ascii="Calibri" w:cs="Calibri" w:eastAsia="Calibri" w:hAnsi="Calibri"/>
          <w:color w:val="334155"/>
          <w:sz w:val="21"/>
          <w:szCs w:val="21"/>
        </w:rPr>
        <w:t xml:space="preserve">Each instance has a server collation fixed at install, and tempdb inherits it. A collapsed instance can hold only one server collation. User databases may retain their own collation, but any code that joins a temp object (tempdb = server collation) to a differently-collated user column raises a collation-conflict error that can pass QA and fail in production. This is the first check and a potential hard stop.</w:t>
      </w:r>
    </w:p>
    <w:tbl>
      <w:tblPr>
        <w:tblW w:type="pct" w:w="100%"/>
        <w:tblBorders>
          <w:top w:val="single" w:color="CBD5E1" w:sz="2"/>
          <w:left w:val="single" w:color="CBD5E1" w:sz="2"/>
          <w:bottom w:val="single" w:color="CBD5E1" w:sz="2"/>
          <w:right w:val="single" w:color="CBD5E1" w:sz="2"/>
          <w:insideH w:val="none"/>
          <w:insideV w:val="none"/>
        </w:tblBorders>
      </w:tblPr>
      <w:tblGrid>
        <w:gridCol w:w="9360"/>
      </w:tblGrid>
      <w:tr>
        <w:tc>
          <w:tcPr>
            <w:tcW w:type="dxa" w:w="9360"/>
            <w:shd w:fill="F1F5F9" w:val="clear"/>
            <w:tcMar>
              <w:top w:type="dxa" w:w="100"/>
              <w:left w:type="dxa" w:w="140"/>
              <w:bottom w:type="dxa" w:w="100"/>
              <w:right w:type="dxa" w:w="140"/>
            </w:tcMar>
          </w:tcPr>
          <w:p>
            <w:pPr>
              <w:spacing w:after="0"/>
            </w:pPr>
            <w:r>
              <w:rPr>
                <w:rFonts w:ascii="Consolas" w:cs="Consolas" w:eastAsia="Consolas" w:hAnsi="Consolas"/>
                <w:color w:val="0F172A"/>
                <w:sz w:val="18"/>
                <w:szCs w:val="18"/>
              </w:rPr>
              <w:t xml:space="preserve">Msg 468, Level 16, State 9</w:t>
            </w:r>
          </w:p>
          <w:p>
            <w:pPr>
              <w:spacing w:after="0"/>
            </w:pPr>
            <w:r>
              <w:rPr>
                <w:rFonts w:ascii="Consolas" w:cs="Consolas" w:eastAsia="Consolas" w:hAnsi="Consolas"/>
                <w:color w:val="0F172A"/>
                <w:sz w:val="18"/>
                <w:szCs w:val="18"/>
              </w:rPr>
              <w:t xml:space="preserve">Cannot resolve the collation conflict between</w:t>
            </w:r>
          </w:p>
          <w:p>
            <w:pPr>
              <w:spacing w:after="0"/>
            </w:pPr>
            <w:r>
              <w:rPr>
                <w:rFonts w:ascii="Consolas" w:cs="Consolas" w:eastAsia="Consolas" w:hAnsi="Consolas"/>
                <w:color w:val="0F172A"/>
                <w:sz w:val="18"/>
                <w:szCs w:val="18"/>
              </w:rPr>
              <w:t xml:space="preserve">"SQL_Latin1_General_CP1_CI_AS" and "Latin1_General_CI_AS"</w:t>
            </w:r>
          </w:p>
          <w:p>
            <w:pPr>
              <w:spacing w:after="0"/>
            </w:pPr>
            <w:r>
              <w:rPr>
                <w:rFonts w:ascii="Consolas" w:cs="Consolas" w:eastAsia="Consolas" w:hAnsi="Consolas"/>
                <w:color w:val="0F172A"/>
                <w:sz w:val="18"/>
                <w:szCs w:val="18"/>
              </w:rPr>
              <w:t xml:space="preserve">in the equal to operation.</w:t>
            </w:r>
          </w:p>
        </w:tc>
      </w:tr>
    </w:tbl>
    <w:p>
      <w:pPr>
        <w:pBdr>
          <w:bottom w:val="single" w:color="2E5077" w:sz="6"/>
        </w:pBdr>
        <w:spacing w:after="100" w:before="200"/>
      </w:pPr>
      <w:r>
        <w:rPr>
          <w:rFonts w:ascii="Calibri" w:cs="Calibri" w:eastAsia="Calibri" w:hAnsi="Calibri"/>
          <w:b/>
          <w:bCs/>
          <w:color w:val="2E5077"/>
          <w:sz w:val="24"/>
          <w:szCs w:val="24"/>
        </w:rPr>
        <w:t xml:space="preserve">4.2   Object &amp; identity collisions</w:t>
      </w:r>
    </w:p>
    <w:p>
      <w:pPr>
        <w:pStyle w:val="ListParagraph"/>
        <w:numPr>
          <w:ilvl w:val="0"/>
          <w:numId w:val="2"/>
        </w:numPr>
        <w:spacing w:after="80"/>
      </w:pPr>
      <w:r>
        <w:rPr>
          <w:rFonts w:ascii="Calibri" w:cs="Calibri" w:eastAsia="Calibri" w:hAnsi="Calibri"/>
          <w:b/>
          <w:bCs/>
          <w:color w:val="334155"/>
          <w:sz w:val="21"/>
          <w:szCs w:val="21"/>
        </w:rPr>
        <w:t xml:space="preserve">Database names</w:t>
      </w:r>
      <w:r>
        <w:rPr>
          <w:rFonts w:ascii="Calibri" w:cs="Calibri" w:eastAsia="Calibri" w:hAnsi="Calibri"/>
          <w:color w:val="334155"/>
          <w:sz w:val="21"/>
          <w:szCs w:val="21"/>
        </w:rPr>
        <w:t xml:space="preserve">  — a duplicate database name across instances is a hard stop; one must be renamed, dragging in every connection string and cross-database reference.</w:t>
      </w:r>
    </w:p>
    <w:p>
      <w:pPr>
        <w:pStyle w:val="ListParagraph"/>
        <w:numPr>
          <w:ilvl w:val="0"/>
          <w:numId w:val="2"/>
        </w:numPr>
        <w:spacing w:after="80"/>
      </w:pPr>
      <w:r>
        <w:rPr>
          <w:rFonts w:ascii="Calibri" w:cs="Calibri" w:eastAsia="Calibri" w:hAnsi="Calibri"/>
          <w:b/>
          <w:bCs/>
          <w:color w:val="334155"/>
          <w:sz w:val="21"/>
          <w:szCs w:val="21"/>
        </w:rPr>
        <w:t xml:space="preserve">Logins &amp; SIDs</w:t>
      </w:r>
      <w:r>
        <w:rPr>
          <w:rFonts w:ascii="Calibri" w:cs="Calibri" w:eastAsia="Calibri" w:hAnsi="Calibri"/>
          <w:color w:val="334155"/>
          <w:sz w:val="21"/>
          <w:szCs w:val="21"/>
        </w:rPr>
        <w:t xml:space="preserve">  — same-named logins with different SIDs or permission sets collide on the single master; plan SID-preserving recreation.</w:t>
      </w:r>
    </w:p>
    <w:p>
      <w:pPr>
        <w:pStyle w:val="ListParagraph"/>
        <w:numPr>
          <w:ilvl w:val="0"/>
          <w:numId w:val="2"/>
        </w:numPr>
        <w:spacing w:after="80"/>
      </w:pPr>
      <w:r>
        <w:rPr>
          <w:rFonts w:ascii="Calibri" w:cs="Calibri" w:eastAsia="Calibri" w:hAnsi="Calibri"/>
          <w:b/>
          <w:bCs/>
          <w:color w:val="334155"/>
          <w:sz w:val="21"/>
          <w:szCs w:val="21"/>
        </w:rPr>
        <w:t xml:space="preserve">SQL Agent</w:t>
      </w:r>
      <w:r>
        <w:rPr>
          <w:rFonts w:ascii="Calibri" w:cs="Calibri" w:eastAsia="Calibri" w:hAnsi="Calibri"/>
          <w:color w:val="334155"/>
          <w:sz w:val="21"/>
          <w:szCs w:val="21"/>
        </w:rPr>
        <w:t xml:space="preserve">  — job/operator/alert name collisions in the single msdb, plus previously isolated maintenance windows that will now stack on one scheduler.</w:t>
      </w:r>
    </w:p>
    <w:p>
      <w:pPr>
        <w:pBdr>
          <w:bottom w:val="single" w:color="2E5077" w:sz="6"/>
        </w:pBdr>
        <w:spacing w:after="100" w:before="200"/>
      </w:pPr>
      <w:r>
        <w:rPr>
          <w:rFonts w:ascii="Calibri" w:cs="Calibri" w:eastAsia="Calibri" w:hAnsi="Calibri"/>
          <w:b/>
          <w:bCs/>
          <w:color w:val="2E5077"/>
          <w:sz w:val="24"/>
          <w:szCs w:val="24"/>
        </w:rPr>
        <w:t xml:space="preserve">4.3   Shared-resource &amp; isolation loss</w:t>
      </w:r>
    </w:p>
    <w:p>
      <w:pPr>
        <w:pStyle w:val="ListParagraph"/>
        <w:numPr>
          <w:ilvl w:val="0"/>
          <w:numId w:val="2"/>
        </w:numPr>
        <w:spacing w:after="80"/>
      </w:pPr>
      <w:r>
        <w:rPr>
          <w:rFonts w:ascii="Calibri" w:cs="Calibri" w:eastAsia="Calibri" w:hAnsi="Calibri"/>
          <w:b/>
          <w:bCs/>
          <w:color w:val="334155"/>
          <w:sz w:val="21"/>
          <w:szCs w:val="21"/>
        </w:rPr>
        <w:t xml:space="preserve">Instance-level config</w:t>
      </w:r>
      <w:r>
        <w:rPr>
          <w:rFonts w:ascii="Calibri" w:cs="Calibri" w:eastAsia="Calibri" w:hAnsi="Calibri"/>
          <w:color w:val="334155"/>
          <w:sz w:val="21"/>
          <w:szCs w:val="21"/>
        </w:rPr>
        <w:t xml:space="preserve">  — MAXDOP, cost threshold, max memory and especially trace flags are instance-wide; conflicting requirements across the four must reconcile to one set.</w:t>
      </w:r>
    </w:p>
    <w:p>
      <w:pPr>
        <w:pStyle w:val="ListParagraph"/>
        <w:numPr>
          <w:ilvl w:val="0"/>
          <w:numId w:val="2"/>
        </w:numPr>
        <w:spacing w:after="80"/>
      </w:pPr>
      <w:r>
        <w:rPr>
          <w:rFonts w:ascii="Calibri" w:cs="Calibri" w:eastAsia="Calibri" w:hAnsi="Calibri"/>
          <w:b/>
          <w:bCs/>
          <w:color w:val="334155"/>
          <w:sz w:val="21"/>
          <w:szCs w:val="21"/>
        </w:rPr>
        <w:t xml:space="preserve">tempdb contention</w:t>
      </w:r>
      <w:r>
        <w:rPr>
          <w:rFonts w:ascii="Calibri" w:cs="Calibri" w:eastAsia="Calibri" w:hAnsi="Calibri"/>
          <w:color w:val="334155"/>
          <w:sz w:val="21"/>
          <w:szCs w:val="21"/>
        </w:rPr>
        <w:t xml:space="preserve">  — four isolated tempdbs become one; size and file-count for the combined concurrent load, not the sum of the old sizes.</w:t>
      </w:r>
    </w:p>
    <w:p>
      <w:pPr>
        <w:pStyle w:val="ListParagraph"/>
        <w:numPr>
          <w:ilvl w:val="0"/>
          <w:numId w:val="2"/>
        </w:numPr>
        <w:spacing w:after="80"/>
      </w:pPr>
      <w:r>
        <w:rPr>
          <w:rFonts w:ascii="Calibri" w:cs="Calibri" w:eastAsia="Calibri" w:hAnsi="Calibri"/>
          <w:b/>
          <w:bCs/>
          <w:color w:val="334155"/>
          <w:sz w:val="21"/>
          <w:szCs w:val="21"/>
        </w:rPr>
        <w:t xml:space="preserve">Security blast radius</w:t>
      </w:r>
      <w:r>
        <w:rPr>
          <w:rFonts w:ascii="Calibri" w:cs="Calibri" w:eastAsia="Calibri" w:hAnsi="Calibri"/>
          <w:color w:val="334155"/>
          <w:sz w:val="21"/>
          <w:szCs w:val="21"/>
        </w:rPr>
        <w:t xml:space="preserve">  — instance isolation was a security boundary; after collapse, sysadmin sees all databases. Confirm this is acceptable against segregation-of-duties requirements.</w:t>
      </w:r>
    </w:p>
    <w:p>
      <w:pPr>
        <w:pStyle w:val="ListParagraph"/>
        <w:numPr>
          <w:ilvl w:val="0"/>
          <w:numId w:val="2"/>
        </w:numPr>
        <w:spacing w:after="80"/>
      </w:pPr>
      <w:r>
        <w:rPr>
          <w:rFonts w:ascii="Calibri" w:cs="Calibri" w:eastAsia="Calibri" w:hAnsi="Calibri"/>
          <w:b/>
          <w:bCs/>
          <w:color w:val="334155"/>
          <w:sz w:val="21"/>
          <w:szCs w:val="21"/>
        </w:rPr>
        <w:t xml:space="preserve">Fault &amp; maintenance isolation</w:t>
      </w:r>
      <w:r>
        <w:rPr>
          <w:rFonts w:ascii="Calibri" w:cs="Calibri" w:eastAsia="Calibri" w:hAnsi="Calibri"/>
          <w:color w:val="334155"/>
          <w:sz w:val="21"/>
          <w:szCs w:val="21"/>
        </w:rPr>
        <w:t xml:space="preserve">  — one service restart, crash or CU now affects all databases together; independent per-workload patching is lost.</w:t>
      </w:r>
    </w:p>
    <w:p>
      <w:pPr>
        <w:pBdr>
          <w:bottom w:val="single" w:color="2E5077" w:sz="6"/>
        </w:pBdr>
        <w:spacing w:after="100" w:before="200"/>
      </w:pPr>
      <w:r>
        <w:rPr>
          <w:rFonts w:ascii="Calibri" w:cs="Calibri" w:eastAsia="Calibri" w:hAnsi="Calibri"/>
          <w:b/>
          <w:bCs/>
          <w:color w:val="2E5077"/>
          <w:sz w:val="24"/>
          <w:szCs w:val="24"/>
        </w:rPr>
        <w:t xml:space="preserve">4.4   Application &amp; AG impact</w:t>
      </w:r>
    </w:p>
    <w:p>
      <w:pPr>
        <w:pStyle w:val="ListParagraph"/>
        <w:numPr>
          <w:ilvl w:val="0"/>
          <w:numId w:val="2"/>
        </w:numPr>
        <w:spacing w:after="80"/>
      </w:pPr>
      <w:r>
        <w:rPr>
          <w:rFonts w:ascii="Calibri" w:cs="Calibri" w:eastAsia="Calibri" w:hAnsi="Calibri"/>
          <w:b/>
          <w:bCs/>
          <w:color w:val="334155"/>
          <w:sz w:val="21"/>
          <w:szCs w:val="21"/>
        </w:rPr>
        <w:t xml:space="preserve">Connection strings</w:t>
      </w:r>
      <w:r>
        <w:rPr>
          <w:rFonts w:ascii="Calibri" w:cs="Calibri" w:eastAsia="Calibri" w:hAnsi="Calibri"/>
          <w:color w:val="334155"/>
          <w:sz w:val="21"/>
          <w:szCs w:val="21"/>
        </w:rPr>
        <w:t xml:space="preserve">  — every app, DSN and linked server referencing an old named instance must be repointed. Decide early: default instance or a single named instance.</w:t>
      </w:r>
    </w:p>
    <w:p>
      <w:pPr>
        <w:pStyle w:val="ListParagraph"/>
        <w:numPr>
          <w:ilvl w:val="0"/>
          <w:numId w:val="2"/>
        </w:numPr>
        <w:spacing w:after="80"/>
      </w:pPr>
      <w:r>
        <w:rPr>
          <w:rFonts w:ascii="Calibri" w:cs="Calibri" w:eastAsia="Calibri" w:hAnsi="Calibri"/>
          <w:b/>
          <w:bCs/>
          <w:color w:val="334155"/>
          <w:sz w:val="21"/>
          <w:szCs w:val="21"/>
        </w:rPr>
        <w:t xml:space="preserve">AG re-architecture</w:t>
      </w:r>
      <w:r>
        <w:rPr>
          <w:rFonts w:ascii="Calibri" w:cs="Calibri" w:eastAsia="Calibri" w:hAnsi="Calibri"/>
          <w:color w:val="334155"/>
          <w:sz w:val="21"/>
          <w:szCs w:val="21"/>
        </w:rPr>
        <w:t xml:space="preserve">  — the AG is per-instance. Collapsing moves all databases into one instance’s AG, and the secondary and DR replica must mirror that exact topology. If the subject host is an AG member, this is a WSFC/AG rebuild, not a config change.</w:t>
      </w:r>
    </w:p>
    <w:tbl>
      <w:tblPr>
        <w:tblW w:type="pct" w:w="10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40"/>
            </w:pPr>
            <w:r>
              <w:rPr>
                <w:rFonts w:ascii="Calibri" w:cs="Calibri" w:eastAsia="Calibri" w:hAnsi="Calibri"/>
                <w:b/>
                <w:bCs/>
                <w:color w:val="B45309"/>
                <w:sz w:val="21"/>
                <w:szCs w:val="21"/>
              </w:rPr>
              <w:t xml:space="preserve">▲  First branch point</w:t>
            </w:r>
          </w:p>
          <w:p>
            <w:r>
              <w:rPr>
                <w:rFonts w:ascii="Calibri" w:cs="Calibri" w:eastAsia="Calibri" w:hAnsi="Calibri"/>
                <w:color w:val="78350F"/>
                <w:sz w:val="21"/>
                <w:szCs w:val="21"/>
              </w:rPr>
              <w:t xml:space="preserve">Confirm whether the subject four-instance host is an AG member or standalone. That single fact determines whether consolidation is a contained job or a full HA redesign across all three replicas.</w:t>
            </w:r>
          </w:p>
        </w:tc>
      </w:tr>
    </w:tbl>
    <w:p>
      <w:r>
        <w:br w:type="page"/>
      </w:r>
    </w:p>
    <w:p>
      <w:pPr>
        <w:shd w:fill="1F3A5F" w:val="clear"/>
        <w:spacing w:after="160" w:before="260"/>
      </w:pPr>
      <w:r>
        <w:rPr>
          <w:rFonts w:ascii="Calibri" w:cs="Calibri" w:eastAsia="Calibri" w:hAnsi="Calibri"/>
          <w:b/>
          <w:bCs/>
          <w:color w:val="FFFFFF"/>
          <w:sz w:val="26"/>
          <w:szCs w:val="26"/>
        </w:rPr>
        <w:t xml:space="preserve">5   Pre-Consolidation Checks</w:t>
      </w:r>
    </w:p>
    <w:p>
      <w:pPr>
        <w:spacing w:after="120"/>
      </w:pPr>
      <w:r>
        <w:rPr>
          <w:rFonts w:ascii="Calibri" w:cs="Calibri" w:eastAsia="Calibri" w:hAnsi="Calibri"/>
          <w:color w:val="334155"/>
          <w:sz w:val="21"/>
          <w:szCs w:val="21"/>
        </w:rPr>
        <w:t xml:space="preserve">Run a full capture per instance and reconcile before committing. The existing 01_Capture_Source_Config.sql covers much of the instance-level detail; extend it to emit the four instances side-by-side for direct comparison. Each item below must be signed off before consolidation is approved.</w:t>
      </w:r>
    </w:p>
    <w:p>
      <w:pPr>
        <w:pBdr>
          <w:bottom w:val="single" w:color="2E5077" w:sz="6"/>
        </w:pBdr>
        <w:spacing w:after="100" w:before="200"/>
      </w:pPr>
      <w:r>
        <w:rPr>
          <w:rFonts w:ascii="Calibri" w:cs="Calibri" w:eastAsia="Calibri" w:hAnsi="Calibri"/>
          <w:b/>
          <w:bCs/>
          <w:color w:val="2E5077"/>
          <w:sz w:val="24"/>
          <w:szCs w:val="24"/>
        </w:rPr>
        <w:t xml:space="preserve">5.1   Compatibility &amp; collation</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Server collation of all four instances captured and compared — flag any mismatch (EXACT match required at server level).</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Collation of every database captured; per-database differences tolerated only with the tempdb collation-conflict caveat understood and tested.</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Temp-object join patterns reviewed in stored procedures for latent collation-conflict exposure.</w:t>
      </w:r>
    </w:p>
    <w:p>
      <w:pPr>
        <w:pBdr>
          <w:bottom w:val="single" w:color="2E5077" w:sz="6"/>
        </w:pBdr>
        <w:spacing w:after="100" w:before="200"/>
      </w:pPr>
      <w:r>
        <w:rPr>
          <w:rFonts w:ascii="Calibri" w:cs="Calibri" w:eastAsia="Calibri" w:hAnsi="Calibri"/>
          <w:b/>
          <w:bCs/>
          <w:color w:val="2E5077"/>
          <w:sz w:val="24"/>
          <w:szCs w:val="24"/>
        </w:rPr>
        <w:t xml:space="preserve">5.2   Namespace &amp; identity</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Database name inventory across all four instances — detect collisions; plan renames and downstream connection-string changes.</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Logins captured (name, SID, type, server-role membership) and credentials — detect same-name/different-SID conflicts; plan SID-preserving recreation.</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SQL Agent jobs, schedules, operators and alerts inventoried — name collisions and overlapping maintenance windows resolved.</w:t>
      </w:r>
    </w:p>
    <w:p>
      <w:pPr>
        <w:pBdr>
          <w:bottom w:val="single" w:color="2E5077" w:sz="6"/>
        </w:pBdr>
        <w:spacing w:after="100" w:before="200"/>
      </w:pPr>
      <w:r>
        <w:rPr>
          <w:rFonts w:ascii="Calibri" w:cs="Calibri" w:eastAsia="Calibri" w:hAnsi="Calibri"/>
          <w:b/>
          <w:bCs/>
          <w:color w:val="2E5077"/>
          <w:sz w:val="24"/>
          <w:szCs w:val="24"/>
        </w:rPr>
        <w:t xml:space="preserve">5.3   Configuration &amp; features</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sp_configure deltas, trace flags, MAXDOP, cost threshold (target 50) and max/min memory reconciled to a single instance-level set.</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Instance-level features in use inventoried: FILESTREAM, Full-Text, CLR, Service Broker, replication/CDC, SSISDB, Database Mail — each with a merge plan.</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Certificates, TDE keys and service master key per instance captured with a migration path for each.</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Linked servers and cross-instance dependencies mapped — identify which become in-engine cross-database references.</w:t>
      </w:r>
    </w:p>
    <w:p>
      <w:pPr>
        <w:pBdr>
          <w:bottom w:val="single" w:color="2E5077" w:sz="6"/>
        </w:pBdr>
        <w:spacing w:after="100" w:before="200"/>
      </w:pPr>
      <w:r>
        <w:rPr>
          <w:rFonts w:ascii="Calibri" w:cs="Calibri" w:eastAsia="Calibri" w:hAnsi="Calibri"/>
          <w:b/>
          <w:bCs/>
          <w:color w:val="2E5077"/>
          <w:sz w:val="24"/>
          <w:szCs w:val="24"/>
        </w:rPr>
        <w:t xml:space="preserve">5.4   Sizing &amp; dependencies</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Peak CONCURRENT resource usage across all four instances captured (CPU, memory working set, tempdb, IOPS) — size the target instance and tempdb from concurrency, not the sum of individual maxima.</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Full connection dependency map produced: every app, DSN and linked server per instance, for the repointing work.</w:t>
      </w:r>
    </w:p>
    <w:p>
      <w:pPr>
        <w:pBdr>
          <w:bottom w:val="single" w:color="2E5077" w:sz="6"/>
        </w:pBdr>
        <w:spacing w:after="100" w:before="200"/>
      </w:pPr>
      <w:r>
        <w:rPr>
          <w:rFonts w:ascii="Calibri" w:cs="Calibri" w:eastAsia="Calibri" w:hAnsi="Calibri"/>
          <w:b/>
          <w:bCs/>
          <w:color w:val="2E5077"/>
          <w:sz w:val="24"/>
          <w:szCs w:val="24"/>
        </w:rPr>
        <w:t xml:space="preserve">5.5   High availability</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AG membership of the subject host confirmed (member vs standalone).</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Secondary (SQL-PROD-02) and DR (SQL-DR-01) replica parity confirmed for the post-collapse topology.</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Enterprise-only features intended for the collapsed instance flagged against DR-replica capability on failover (see Section 6).</w:t>
      </w:r>
    </w:p>
    <w:p>
      <w:pPr>
        <w:shd w:fill="1F3A5F" w:val="clear"/>
        <w:spacing w:after="160" w:before="260"/>
      </w:pPr>
      <w:r>
        <w:rPr>
          <w:rFonts w:ascii="Calibri" w:cs="Calibri" w:eastAsia="Calibri" w:hAnsi="Calibri"/>
          <w:b/>
          <w:bCs/>
          <w:color w:val="FFFFFF"/>
          <w:sz w:val="26"/>
          <w:szCs w:val="26"/>
        </w:rPr>
        <w:t xml:space="preserve">6   Resource Governor Isolation Design</w:t>
      </w:r>
    </w:p>
    <w:p>
      <w:pPr>
        <w:spacing w:after="120"/>
      </w:pPr>
      <w:r>
        <w:rPr>
          <w:rFonts w:ascii="Calibri" w:cs="Calibri" w:eastAsia="Calibri" w:hAnsi="Calibri"/>
          <w:color w:val="334155"/>
          <w:sz w:val="21"/>
          <w:szCs w:val="21"/>
        </w:rPr>
        <w:t xml:space="preserve">With Enterprise confirmed on every replica, Resource Governor is the sanctioned mechanism for re-introducing workload isolation inside the collapsed instance — replacing the physical separation the four instances previously provided. It governs CPU, memory and (Enterprise) IO per resource pool, keeping a noisy workload from starving the shared tempdb and buffer pool. Pool definitions must be identical on every replica so isolation holds after a failover to DR.</w:t>
      </w:r>
    </w:p>
    <w:p>
      <w:pPr>
        <w:spacing w:after="120"/>
      </w:pPr>
      <w:r>
        <w:rPr>
          <w:rFonts w:ascii="Calibri" w:cs="Calibri" w:eastAsia="Calibri" w:hAnsi="Calibri"/>
          <w:color w:val="334155"/>
          <w:sz w:val="21"/>
          <w:szCs w:val="21"/>
        </w:rPr>
        <w:t xml:space="preserve">Indicative pool design (tune to the captured concurrency figures):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100"/>
        <w:gridCol w:w="3200"/>
        <w:gridCol w:w="4060"/>
      </w:tblGrid>
      <w:tr>
        <w:trPr>
          <w:tblHeader/>
        </w:trPr>
        <w:tc>
          <w:tcPr>
            <w:tcW w:type="dxa" w:w="21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Resource pool</w:t>
            </w:r>
          </w:p>
        </w:tc>
        <w:tc>
          <w:tcPr>
            <w:tcW w:type="dxa" w:w="32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Workloads</w:t>
            </w:r>
          </w:p>
        </w:tc>
        <w:tc>
          <w:tcPr>
            <w:tcW w:type="dxa" w:w="406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Guidance</w:t>
            </w:r>
          </w:p>
        </w:tc>
      </w:tr>
      <w:tr>
        <w:tc>
          <w:tcPr>
            <w:tcW w:type="dxa" w:w="2100"/>
            <w:shd w:fill="FFFFFF" w:val="clear"/>
            <w:tcMar>
              <w:top w:type="dxa" w:w="60"/>
              <w:left w:type="dxa" w:w="110"/>
              <w:bottom w:type="dxa" w:w="60"/>
              <w:right w:type="dxa" w:w="110"/>
            </w:tcMar>
          </w:tcPr>
          <w:p>
            <w:r>
              <w:rPr>
                <w:rFonts w:ascii="Calibri" w:cs="Calibri" w:eastAsia="Calibri" w:hAnsi="Calibri"/>
                <w:color w:val="334155"/>
                <w:sz w:val="19"/>
                <w:szCs w:val="19"/>
              </w:rPr>
              <w:t xml:space="preserve">POOL_TIER1</w:t>
            </w:r>
          </w:p>
        </w:tc>
        <w:tc>
          <w:tcPr>
            <w:tcW w:type="dxa" w:w="3200"/>
            <w:shd w:fill="FFFFFF" w:val="clear"/>
            <w:tcMar>
              <w:top w:type="dxa" w:w="60"/>
              <w:left w:type="dxa" w:w="110"/>
              <w:bottom w:type="dxa" w:w="60"/>
              <w:right w:type="dxa" w:w="110"/>
            </w:tcMar>
          </w:tcPr>
          <w:p>
            <w:r>
              <w:rPr>
                <w:rFonts w:ascii="Calibri" w:cs="Calibri" w:eastAsia="Calibri" w:hAnsi="Calibri"/>
                <w:color w:val="334155"/>
                <w:sz w:val="19"/>
                <w:szCs w:val="19"/>
              </w:rPr>
              <w:t xml:space="preserve">Mission-critical / OLTP databases</w:t>
            </w:r>
          </w:p>
        </w:tc>
        <w:tc>
          <w:tcPr>
            <w:tcW w:type="dxa" w:w="4060"/>
            <w:shd w:fill="FFFFFF" w:val="clear"/>
            <w:tcMar>
              <w:top w:type="dxa" w:w="60"/>
              <w:left w:type="dxa" w:w="110"/>
              <w:bottom w:type="dxa" w:w="60"/>
              <w:right w:type="dxa" w:w="110"/>
            </w:tcMar>
          </w:tcPr>
          <w:p>
            <w:r>
              <w:rPr>
                <w:rFonts w:ascii="Calibri" w:cs="Calibri" w:eastAsia="Calibri" w:hAnsi="Calibri"/>
                <w:color w:val="334155"/>
                <w:sz w:val="19"/>
                <w:szCs w:val="19"/>
              </w:rPr>
              <w:t xml:space="preserve">MIN_MEMORY_PERCENT reservation; MAX_CPU_PERCENT cap to protect it under contention; dedicated where latency-sensitive.</w:t>
            </w:r>
          </w:p>
        </w:tc>
      </w:tr>
      <w:tr>
        <w:tc>
          <w:tcPr>
            <w:tcW w:type="dxa" w:w="2100"/>
            <w:shd w:fill="F8FAFC" w:val="clear"/>
            <w:tcMar>
              <w:top w:type="dxa" w:w="60"/>
              <w:left w:type="dxa" w:w="110"/>
              <w:bottom w:type="dxa" w:w="60"/>
              <w:right w:type="dxa" w:w="110"/>
            </w:tcMar>
          </w:tcPr>
          <w:p>
            <w:r>
              <w:rPr>
                <w:rFonts w:ascii="Calibri" w:cs="Calibri" w:eastAsia="Calibri" w:hAnsi="Calibri"/>
                <w:color w:val="334155"/>
                <w:sz w:val="19"/>
                <w:szCs w:val="19"/>
              </w:rPr>
              <w:t xml:space="preserve">POOL_GENERAL</w:t>
            </w:r>
          </w:p>
        </w:tc>
        <w:tc>
          <w:tcPr>
            <w:tcW w:type="dxa" w:w="3200"/>
            <w:shd w:fill="F8FAFC" w:val="clear"/>
            <w:tcMar>
              <w:top w:type="dxa" w:w="60"/>
              <w:left w:type="dxa" w:w="110"/>
              <w:bottom w:type="dxa" w:w="60"/>
              <w:right w:type="dxa" w:w="110"/>
            </w:tcMar>
          </w:tcPr>
          <w:p>
            <w:r>
              <w:rPr>
                <w:rFonts w:ascii="Calibri" w:cs="Calibri" w:eastAsia="Calibri" w:hAnsi="Calibri"/>
                <w:color w:val="334155"/>
                <w:sz w:val="19"/>
                <w:szCs w:val="19"/>
              </w:rPr>
              <w:t xml:space="preserve">Standard line-of-business databases</w:t>
            </w:r>
          </w:p>
        </w:tc>
        <w:tc>
          <w:tcPr>
            <w:tcW w:type="dxa" w:w="4060"/>
            <w:shd w:fill="F8FAFC" w:val="clear"/>
            <w:tcMar>
              <w:top w:type="dxa" w:w="60"/>
              <w:left w:type="dxa" w:w="110"/>
              <w:bottom w:type="dxa" w:w="60"/>
              <w:right w:type="dxa" w:w="110"/>
            </w:tcMar>
          </w:tcPr>
          <w:p>
            <w:r>
              <w:rPr>
                <w:rFonts w:ascii="Calibri" w:cs="Calibri" w:eastAsia="Calibri" w:hAnsi="Calibri"/>
                <w:color w:val="334155"/>
                <w:sz w:val="19"/>
                <w:szCs w:val="19"/>
              </w:rPr>
              <w:t xml:space="preserve">Balanced CAP_CPU / MAX_MEMORY_PERCENT; the default landing pool.</w:t>
            </w:r>
          </w:p>
        </w:tc>
      </w:tr>
      <w:tr>
        <w:tc>
          <w:tcPr>
            <w:tcW w:type="dxa" w:w="2100"/>
            <w:shd w:fill="FFFFFF" w:val="clear"/>
            <w:tcMar>
              <w:top w:type="dxa" w:w="60"/>
              <w:left w:type="dxa" w:w="110"/>
              <w:bottom w:type="dxa" w:w="60"/>
              <w:right w:type="dxa" w:w="110"/>
            </w:tcMar>
          </w:tcPr>
          <w:p>
            <w:r>
              <w:rPr>
                <w:rFonts w:ascii="Calibri" w:cs="Calibri" w:eastAsia="Calibri" w:hAnsi="Calibri"/>
                <w:color w:val="334155"/>
                <w:sz w:val="19"/>
                <w:szCs w:val="19"/>
              </w:rPr>
              <w:t xml:space="preserve">POOL_REPORTING</w:t>
            </w:r>
          </w:p>
        </w:tc>
        <w:tc>
          <w:tcPr>
            <w:tcW w:type="dxa" w:w="3200"/>
            <w:shd w:fill="FFFFFF" w:val="clear"/>
            <w:tcMar>
              <w:top w:type="dxa" w:w="60"/>
              <w:left w:type="dxa" w:w="110"/>
              <w:bottom w:type="dxa" w:w="60"/>
              <w:right w:type="dxa" w:w="110"/>
            </w:tcMar>
          </w:tcPr>
          <w:p>
            <w:r>
              <w:rPr>
                <w:rFonts w:ascii="Calibri" w:cs="Calibri" w:eastAsia="Calibri" w:hAnsi="Calibri"/>
                <w:color w:val="334155"/>
                <w:sz w:val="19"/>
                <w:szCs w:val="19"/>
              </w:rPr>
              <w:t xml:space="preserve">Reporting / ad-hoc / batch</w:t>
            </w:r>
          </w:p>
        </w:tc>
        <w:tc>
          <w:tcPr>
            <w:tcW w:type="dxa" w:w="4060"/>
            <w:shd w:fill="FFFFFF" w:val="clear"/>
            <w:tcMar>
              <w:top w:type="dxa" w:w="60"/>
              <w:left w:type="dxa" w:w="110"/>
              <w:bottom w:type="dxa" w:w="60"/>
              <w:right w:type="dxa" w:w="110"/>
            </w:tcMar>
          </w:tcPr>
          <w:p>
            <w:r>
              <w:rPr>
                <w:rFonts w:ascii="Calibri" w:cs="Calibri" w:eastAsia="Calibri" w:hAnsi="Calibri"/>
                <w:color w:val="334155"/>
                <w:sz w:val="19"/>
                <w:szCs w:val="19"/>
              </w:rPr>
              <w:t xml:space="preserve">MAX_CPU_PERCENT and IO caps to contain tempdb-heavy and scan-heavy work.</w:t>
            </w:r>
          </w:p>
        </w:tc>
      </w:tr>
    </w:tbl>
    <w:p>
      <w:pPr>
        <w:spacing w:after="120"/>
      </w:pPr>
      <w:r>
        <w:rPr>
          <w:rFonts w:ascii="Calibri" w:cs="Calibri" w:eastAsia="Calibri" w:hAnsi="Calibri"/>
          <w:color w:val="334155"/>
          <w:sz w:val="21"/>
          <w:szCs w:val="21"/>
        </w:rPr>
        <w:t xml:space="preserve">A classifier function routes sessions to pools by login, application name or host. Validate the classifier and pools on the primary, then confirm the identical configuration is present on SQL-PROD-02 and SQL-DR-01 so governance survives failover.</w:t>
      </w:r>
    </w:p>
    <w:tbl>
      <w:tblPr>
        <w:tblW w:type="pct" w:w="10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40"/>
            </w:pPr>
            <w:r>
              <w:rPr>
                <w:rFonts w:ascii="Calibri" w:cs="Calibri" w:eastAsia="Calibri" w:hAnsi="Calibri"/>
                <w:b/>
                <w:bCs/>
                <w:color w:val="B45309"/>
                <w:sz w:val="21"/>
                <w:szCs w:val="21"/>
              </w:rPr>
              <w:t xml:space="preserve">▲  Failover parity</w:t>
            </w:r>
          </w:p>
          <w:p>
            <w:r>
              <w:rPr>
                <w:rFonts w:ascii="Calibri" w:cs="Calibri" w:eastAsia="Calibri" w:hAnsi="Calibri"/>
                <w:color w:val="78350F"/>
                <w:sz w:val="21"/>
                <w:szCs w:val="21"/>
              </w:rPr>
              <w:t xml:space="preserve">Resource Governor configuration is per-instance and does not replicate through the AG. It must be scripted and applied identically to every replica. A collapsed instance that relies on governance for isolation but omits it on DR loses that isolation the moment it fails over to Site B — plan DR capacity for the governed design, and keep the configuration in source control alongside the runbook.</w:t>
            </w:r>
          </w:p>
        </w:tc>
      </w:tr>
    </w:tbl>
    <w:p>
      <w:pPr>
        <w:shd w:fill="1F3A5F" w:val="clear"/>
        <w:spacing w:after="160" w:before="260"/>
      </w:pPr>
      <w:r>
        <w:rPr>
          <w:rFonts w:ascii="Calibri" w:cs="Calibri" w:eastAsia="Calibri" w:hAnsi="Calibri"/>
          <w:b/>
          <w:bCs/>
          <w:color w:val="FFFFFF"/>
          <w:sz w:val="26"/>
          <w:szCs w:val="26"/>
        </w:rPr>
        <w:t xml:space="preserve">7   DR Passive-Status &amp; Licensing Checks</w:t>
      </w:r>
    </w:p>
    <w:p>
      <w:pPr>
        <w:spacing w:after="120"/>
      </w:pPr>
      <w:r>
        <w:rPr>
          <w:rFonts w:ascii="Calibri" w:cs="Calibri" w:eastAsia="Calibri" w:hAnsi="Calibri"/>
          <w:color w:val="334155"/>
          <w:sz w:val="21"/>
          <w:szCs w:val="21"/>
        </w:rPr>
        <w:t xml:space="preserve">Because SQL-DR-01 is licensed per VM, its vCPU footprint only enters the cost conversation if the replica is licensable. A genuinely passive async replica may be covered by the passive-secondary failover benefit under active Software Assurance, in which case its core count is moot. The moment readable-secondary queries or backups are offloaded to DR, it loses passive status and becomes fully licensable.</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Confirm whether SQL-DR-01 serves any read-intent routing or offloaded backup workload — if so, it is licensable.</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Confirm Software Assurance status and the passive-secondary entitlement against the actual licensing agreement.</w:t>
      </w:r>
    </w:p>
    <w:p>
      <w:pPr>
        <w:spacing w:after="90"/>
      </w:pPr>
      <w:r>
        <w:rPr>
          <w:rFonts w:ascii="Calibri" w:cs="Calibri" w:eastAsia="Calibri" w:hAnsi="Calibri"/>
          <w:b/>
          <w:bCs/>
          <w:color w:val="2E5077"/>
          <w:sz w:val="22"/>
          <w:szCs w:val="22"/>
        </w:rPr>
        <w:t xml:space="preserve">☐  </w:t>
      </w:r>
      <w:r>
        <w:rPr>
          <w:rFonts w:ascii="Calibri" w:cs="Calibri" w:eastAsia="Calibri" w:hAnsi="Calibri"/>
          <w:color w:val="334155"/>
          <w:sz w:val="21"/>
          <w:szCs w:val="21"/>
        </w:rPr>
        <w:t xml:space="preserve">Only if DR is licensable: assess whether right-sizing / consolidating its vCPU footprint yields a cost benefit.</w:t>
      </w:r>
    </w:p>
    <w:tbl>
      <w:tblPr>
        <w:tblW w:type="pct" w:w="100%"/>
        <w:tblBorders>
          <w:top w:val="single" w:color="F59E0B" w:sz="4"/>
          <w:left w:val="single" w:color="F59E0B" w:sz="18"/>
          <w:bottom w:val="single" w:color="F59E0B" w:sz="4"/>
          <w:right w:val="single" w:color="F59E0B"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40"/>
            </w:pPr>
            <w:r>
              <w:rPr>
                <w:rFonts w:ascii="Calibri" w:cs="Calibri" w:eastAsia="Calibri" w:hAnsi="Calibri"/>
                <w:b/>
                <w:bCs/>
                <w:color w:val="B45309"/>
                <w:sz w:val="21"/>
                <w:szCs w:val="21"/>
              </w:rPr>
              <w:t xml:space="preserve">▲  Licensing is agreement-specific</w:t>
            </w:r>
          </w:p>
          <w:p>
            <w:r>
              <w:rPr>
                <w:rFonts w:ascii="Calibri" w:cs="Calibri" w:eastAsia="Calibri" w:hAnsi="Calibri"/>
                <w:color w:val="78350F"/>
                <w:sz w:val="21"/>
                <w:szCs w:val="21"/>
              </w:rPr>
              <w:t xml:space="preserve">The mechanics above describe Microsoft’s general passive-secondary benefit. Entitlement depends on the specific licensing agreement and SA position — validate with the licensing owner before relying on any cost assumption.</w:t>
            </w:r>
          </w:p>
        </w:tc>
      </w:tr>
    </w:tbl>
    <w:p>
      <w:pPr>
        <w:shd w:fill="1F3A5F" w:val="clear"/>
        <w:spacing w:after="160" w:before="260"/>
      </w:pPr>
      <w:r>
        <w:rPr>
          <w:rFonts w:ascii="Calibri" w:cs="Calibri" w:eastAsia="Calibri" w:hAnsi="Calibri"/>
          <w:b/>
          <w:bCs/>
          <w:color w:val="FFFFFF"/>
          <w:sz w:val="26"/>
          <w:szCs w:val="26"/>
        </w:rPr>
        <w:t xml:space="preserve">8   Recommended Sequencing</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300"/>
        <w:gridCol w:w="5060"/>
        <w:gridCol w:w="3000"/>
      </w:tblGrid>
      <w:tr>
        <w:trPr>
          <w:tblHeader/>
        </w:trPr>
        <w:tc>
          <w:tcPr>
            <w:tcW w:type="dxa" w:w="13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Stage</w:t>
            </w:r>
          </w:p>
        </w:tc>
        <w:tc>
          <w:tcPr>
            <w:tcW w:type="dxa" w:w="506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Action</w:t>
            </w:r>
          </w:p>
        </w:tc>
        <w:tc>
          <w:tcPr>
            <w:tcW w:type="dxa" w:w="30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Gate</w:t>
            </w:r>
          </w:p>
        </w:tc>
      </w:tr>
      <w:tr>
        <w:tc>
          <w:tcPr>
            <w:tcW w:type="dxa" w:w="1300"/>
            <w:shd w:fill="FFFFFF" w:val="clear"/>
            <w:tcMar>
              <w:top w:type="dxa" w:w="60"/>
              <w:left w:type="dxa" w:w="110"/>
              <w:bottom w:type="dxa" w:w="60"/>
              <w:right w:type="dxa" w:w="110"/>
            </w:tcMar>
          </w:tcPr>
          <w:p>
            <w:r>
              <w:rPr>
                <w:rFonts w:ascii="Calibri" w:cs="Calibri" w:eastAsia="Calibri" w:hAnsi="Calibri"/>
                <w:color w:val="334155"/>
                <w:sz w:val="19"/>
                <w:szCs w:val="19"/>
              </w:rPr>
              <w:t xml:space="preserve">Phase 1</w:t>
            </w:r>
          </w:p>
        </w:tc>
        <w:tc>
          <w:tcPr>
            <w:tcW w:type="dxa" w:w="5060"/>
            <w:shd w:fill="FFFFFF" w:val="clear"/>
            <w:tcMar>
              <w:top w:type="dxa" w:w="60"/>
              <w:left w:type="dxa" w:w="110"/>
              <w:bottom w:type="dxa" w:w="60"/>
              <w:right w:type="dxa" w:w="110"/>
            </w:tcMar>
          </w:tcPr>
          <w:p>
            <w:r>
              <w:rPr>
                <w:rFonts w:ascii="Calibri" w:cs="Calibri" w:eastAsia="Calibri" w:hAnsi="Calibri"/>
                <w:color w:val="334155"/>
                <w:sz w:val="19"/>
                <w:szCs w:val="19"/>
              </w:rPr>
              <w:t xml:space="preserve">Like-for-like migration: 4 instances → 4 instances on SQL Server 2022, current topology preserved.</w:t>
            </w:r>
          </w:p>
        </w:tc>
        <w:tc>
          <w:tcPr>
            <w:tcW w:type="dxa" w:w="3000"/>
            <w:shd w:fill="FFFFFF" w:val="clear"/>
            <w:tcMar>
              <w:top w:type="dxa" w:w="60"/>
              <w:left w:type="dxa" w:w="110"/>
              <w:bottom w:type="dxa" w:w="60"/>
              <w:right w:type="dxa" w:w="110"/>
            </w:tcMar>
          </w:tcPr>
          <w:p>
            <w:r>
              <w:rPr>
                <w:rFonts w:ascii="Calibri" w:cs="Calibri" w:eastAsia="Calibri" w:hAnsi="Calibri"/>
                <w:color w:val="334155"/>
                <w:sz w:val="19"/>
                <w:szCs w:val="19"/>
              </w:rPr>
              <w:t xml:space="preserve">Deadline migration sign-off (Lead DBA + PM).</w:t>
            </w:r>
          </w:p>
        </w:tc>
      </w:tr>
      <w:tr>
        <w:tc>
          <w:tcPr>
            <w:tcW w:type="dxa" w:w="1300"/>
            <w:shd w:fill="F8FAFC" w:val="clear"/>
            <w:tcMar>
              <w:top w:type="dxa" w:w="60"/>
              <w:left w:type="dxa" w:w="110"/>
              <w:bottom w:type="dxa" w:w="60"/>
              <w:right w:type="dxa" w:w="110"/>
            </w:tcMar>
          </w:tcPr>
          <w:p>
            <w:r>
              <w:rPr>
                <w:rFonts w:ascii="Calibri" w:cs="Calibri" w:eastAsia="Calibri" w:hAnsi="Calibri"/>
                <w:color w:val="334155"/>
                <w:sz w:val="19"/>
                <w:szCs w:val="19"/>
              </w:rPr>
              <w:t xml:space="preserve">Stabilise</w:t>
            </w:r>
          </w:p>
        </w:tc>
        <w:tc>
          <w:tcPr>
            <w:tcW w:type="dxa" w:w="5060"/>
            <w:shd w:fill="F8FAFC" w:val="clear"/>
            <w:tcMar>
              <w:top w:type="dxa" w:w="60"/>
              <w:left w:type="dxa" w:w="110"/>
              <w:bottom w:type="dxa" w:w="60"/>
              <w:right w:type="dxa" w:w="110"/>
            </w:tcMar>
          </w:tcPr>
          <w:p>
            <w:r>
              <w:rPr>
                <w:rFonts w:ascii="Calibri" w:cs="Calibri" w:eastAsia="Calibri" w:hAnsi="Calibri"/>
                <w:color w:val="334155"/>
                <w:sz w:val="19"/>
                <w:szCs w:val="19"/>
              </w:rPr>
              <w:t xml:space="preserve">30-day stabilisation on 2022 per programme standard.</w:t>
            </w:r>
          </w:p>
        </w:tc>
        <w:tc>
          <w:tcPr>
            <w:tcW w:type="dxa" w:w="3000"/>
            <w:shd w:fill="F8FAFC" w:val="clear"/>
            <w:tcMar>
              <w:top w:type="dxa" w:w="60"/>
              <w:left w:type="dxa" w:w="110"/>
              <w:bottom w:type="dxa" w:w="60"/>
              <w:right w:type="dxa" w:w="110"/>
            </w:tcMar>
          </w:tcPr>
          <w:p>
            <w:r>
              <w:rPr>
                <w:rFonts w:ascii="Calibri" w:cs="Calibri" w:eastAsia="Calibri" w:hAnsi="Calibri"/>
                <w:color w:val="334155"/>
                <w:sz w:val="19"/>
                <w:szCs w:val="19"/>
              </w:rPr>
              <w:t xml:space="preserve">No open Sev-1/2 issues.</w:t>
            </w:r>
          </w:p>
        </w:tc>
      </w:tr>
      <w:tr>
        <w:tc>
          <w:tcPr>
            <w:tcW w:type="dxa" w:w="1300"/>
            <w:shd w:fill="FFFFFF" w:val="clear"/>
            <w:tcMar>
              <w:top w:type="dxa" w:w="60"/>
              <w:left w:type="dxa" w:w="110"/>
              <w:bottom w:type="dxa" w:w="60"/>
              <w:right w:type="dxa" w:w="110"/>
            </w:tcMar>
          </w:tcPr>
          <w:p>
            <w:r>
              <w:rPr>
                <w:rFonts w:ascii="Calibri" w:cs="Calibri" w:eastAsia="Calibri" w:hAnsi="Calibri"/>
                <w:color w:val="334155"/>
                <w:sz w:val="19"/>
                <w:szCs w:val="19"/>
              </w:rPr>
              <w:t xml:space="preserve">Assess</w:t>
            </w:r>
          </w:p>
        </w:tc>
        <w:tc>
          <w:tcPr>
            <w:tcW w:type="dxa" w:w="5060"/>
            <w:shd w:fill="FFFFFF" w:val="clear"/>
            <w:tcMar>
              <w:top w:type="dxa" w:w="60"/>
              <w:left w:type="dxa" w:w="110"/>
              <w:bottom w:type="dxa" w:w="60"/>
              <w:right w:type="dxa" w:w="110"/>
            </w:tcMar>
          </w:tcPr>
          <w:p>
            <w:r>
              <w:rPr>
                <w:rFonts w:ascii="Calibri" w:cs="Calibri" w:eastAsia="Calibri" w:hAnsi="Calibri"/>
                <w:color w:val="334155"/>
                <w:sz w:val="19"/>
                <w:szCs w:val="19"/>
              </w:rPr>
              <w:t xml:space="preserve">Complete Section 5 checks; confirm AG membership and DR passive status.</w:t>
            </w:r>
          </w:p>
        </w:tc>
        <w:tc>
          <w:tcPr>
            <w:tcW w:type="dxa" w:w="3000"/>
            <w:shd w:fill="FFFFFF" w:val="clear"/>
            <w:tcMar>
              <w:top w:type="dxa" w:w="60"/>
              <w:left w:type="dxa" w:w="110"/>
              <w:bottom w:type="dxa" w:w="60"/>
              <w:right w:type="dxa" w:w="110"/>
            </w:tcMar>
          </w:tcPr>
          <w:p>
            <w:r>
              <w:rPr>
                <w:rFonts w:ascii="Calibri" w:cs="Calibri" w:eastAsia="Calibri" w:hAnsi="Calibri"/>
                <w:color w:val="334155"/>
                <w:sz w:val="19"/>
                <w:szCs w:val="19"/>
              </w:rPr>
              <w:t xml:space="preserve">All checks pass; consolidation approved.</w:t>
            </w:r>
          </w:p>
        </w:tc>
      </w:tr>
      <w:tr>
        <w:tc>
          <w:tcPr>
            <w:tcW w:type="dxa" w:w="1300"/>
            <w:shd w:fill="F8FAFC" w:val="clear"/>
            <w:tcMar>
              <w:top w:type="dxa" w:w="60"/>
              <w:left w:type="dxa" w:w="110"/>
              <w:bottom w:type="dxa" w:w="60"/>
              <w:right w:type="dxa" w:w="110"/>
            </w:tcMar>
          </w:tcPr>
          <w:p>
            <w:r>
              <w:rPr>
                <w:rFonts w:ascii="Calibri" w:cs="Calibri" w:eastAsia="Calibri" w:hAnsi="Calibri"/>
                <w:color w:val="334155"/>
                <w:sz w:val="19"/>
                <w:szCs w:val="19"/>
              </w:rPr>
              <w:t xml:space="preserve">Phase 1.5</w:t>
            </w:r>
          </w:p>
        </w:tc>
        <w:tc>
          <w:tcPr>
            <w:tcW w:type="dxa" w:w="5060"/>
            <w:shd w:fill="F8FAFC" w:val="clear"/>
            <w:tcMar>
              <w:top w:type="dxa" w:w="60"/>
              <w:left w:type="dxa" w:w="110"/>
              <w:bottom w:type="dxa" w:w="60"/>
              <w:right w:type="dxa" w:w="110"/>
            </w:tcMar>
          </w:tcPr>
          <w:p>
            <w:r>
              <w:rPr>
                <w:rFonts w:ascii="Calibri" w:cs="Calibri" w:eastAsia="Calibri" w:hAnsi="Calibri"/>
                <w:color w:val="334155"/>
                <w:sz w:val="19"/>
                <w:szCs w:val="19"/>
              </w:rPr>
              <w:t xml:space="preserve">Consolidate to single instance with Resource Governor isolation; repoint connections; rebuild AG membership.</w:t>
            </w:r>
          </w:p>
        </w:tc>
        <w:tc>
          <w:tcPr>
            <w:tcW w:type="dxa" w:w="3000"/>
            <w:shd w:fill="F8FAFC" w:val="clear"/>
            <w:tcMar>
              <w:top w:type="dxa" w:w="60"/>
              <w:left w:type="dxa" w:w="110"/>
              <w:bottom w:type="dxa" w:w="60"/>
              <w:right w:type="dxa" w:w="110"/>
            </w:tcMar>
          </w:tcPr>
          <w:p>
            <w:r>
              <w:rPr>
                <w:rFonts w:ascii="Calibri" w:cs="Calibri" w:eastAsia="Calibri" w:hAnsi="Calibri"/>
                <w:color w:val="334155"/>
                <w:sz w:val="19"/>
                <w:szCs w:val="19"/>
              </w:rPr>
              <w:t xml:space="preserve">2-hour validation window; 15-minute revert path; Lead DBA + PM sign-off.</w:t>
            </w:r>
          </w:p>
        </w:tc>
      </w:tr>
    </w:tbl>
    <w:p>
      <w:pPr>
        <w:shd w:fill="1F3A5F" w:val="clear"/>
        <w:spacing w:after="160" w:before="260"/>
      </w:pPr>
      <w:r>
        <w:rPr>
          <w:rFonts w:ascii="Calibri" w:cs="Calibri" w:eastAsia="Calibri" w:hAnsi="Calibri"/>
          <w:b/>
          <w:bCs/>
          <w:color w:val="FFFFFF"/>
          <w:sz w:val="26"/>
          <w:szCs w:val="26"/>
        </w:rPr>
        <w:t xml:space="preserve">9   Approval &amp; Sign-Off</w:t>
      </w:r>
    </w:p>
    <w:p>
      <w:pPr>
        <w:spacing w:after="120"/>
      </w:pPr>
      <w:r>
        <w:rPr>
          <w:rFonts w:ascii="Calibri" w:cs="Calibri" w:eastAsia="Calibri" w:hAnsi="Calibri"/>
          <w:color w:val="334155"/>
          <w:sz w:val="21"/>
          <w:szCs w:val="21"/>
        </w:rPr>
        <w:t xml:space="preserve">Consolidation proceeds only on formal approval after the Section 5 checks pass.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2600"/>
        <w:gridCol w:w="2000"/>
        <w:gridCol w:w="2560"/>
      </w:tblGrid>
      <w:tr>
        <w:trPr>
          <w:tblHeader/>
        </w:trPr>
        <w:tc>
          <w:tcPr>
            <w:tcW w:type="dxa" w:w="22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Role</w:t>
            </w:r>
          </w:p>
        </w:tc>
        <w:tc>
          <w:tcPr>
            <w:tcW w:type="dxa" w:w="26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Name</w:t>
            </w:r>
          </w:p>
        </w:tc>
        <w:tc>
          <w:tcPr>
            <w:tcW w:type="dxa" w:w="200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Decision</w:t>
            </w:r>
          </w:p>
        </w:tc>
        <w:tc>
          <w:tcPr>
            <w:tcW w:type="dxa" w:w="2560"/>
            <w:shd w:fill="1F3A5F" w:val="clear"/>
            <w:tcMar>
              <w:top w:type="dxa" w:w="70"/>
              <w:left w:type="dxa" w:w="110"/>
              <w:bottom w:type="dxa" w:w="70"/>
              <w:right w:type="dxa" w:w="110"/>
            </w:tcMar>
          </w:tcPr>
          <w:p>
            <w:r>
              <w:rPr>
                <w:rFonts w:ascii="Calibri" w:cs="Calibri" w:eastAsia="Calibri" w:hAnsi="Calibri"/>
                <w:b/>
                <w:bCs/>
                <w:color w:val="FFFFFF"/>
                <w:sz w:val="19"/>
                <w:szCs w:val="19"/>
              </w:rPr>
              <w:t xml:space="preserve">Date / Signature</w:t>
            </w:r>
          </w:p>
        </w:tc>
      </w:tr>
      <w:tr>
        <w:tc>
          <w:tcPr>
            <w:tcW w:type="dxa" w:w="2200"/>
            <w:shd w:fill="FFFFFF" w:val="clear"/>
            <w:tcMar>
              <w:top w:type="dxa" w:w="60"/>
              <w:left w:type="dxa" w:w="110"/>
              <w:bottom w:type="dxa" w:w="60"/>
              <w:right w:type="dxa" w:w="110"/>
            </w:tcMar>
          </w:tcPr>
          <w:p>
            <w:r>
              <w:rPr>
                <w:rFonts w:ascii="Calibri" w:cs="Calibri" w:eastAsia="Calibri" w:hAnsi="Calibri"/>
                <w:color w:val="334155"/>
                <w:sz w:val="19"/>
                <w:szCs w:val="19"/>
              </w:rPr>
              <w:t xml:space="preserve">Lead DBA</w:t>
            </w:r>
          </w:p>
        </w:tc>
        <w:tc>
          <w:tcPr>
            <w:tcW w:type="dxa" w:w="2600"/>
            <w:shd w:fill="FFFFFF" w:val="clear"/>
            <w:tcMar>
              <w:top w:type="dxa" w:w="60"/>
              <w:left w:type="dxa" w:w="110"/>
              <w:bottom w:type="dxa" w:w="60"/>
              <w:right w:type="dxa" w:w="110"/>
            </w:tcMar>
          </w:tcPr>
          <w:p>
            <w:r>
              <w:rPr>
                <w:rFonts w:ascii="Calibri" w:cs="Calibri" w:eastAsia="Calibri" w:hAnsi="Calibri"/>
                <w:color w:val="334155"/>
                <w:sz w:val="19"/>
                <w:szCs w:val="19"/>
              </w:rPr>
              <w:t xml:space="preserve"/>
            </w:r>
          </w:p>
        </w:tc>
        <w:tc>
          <w:tcPr>
            <w:tcW w:type="dxa" w:w="2000"/>
            <w:shd w:fill="FFFFFF" w:val="clear"/>
            <w:tcMar>
              <w:top w:type="dxa" w:w="60"/>
              <w:left w:type="dxa" w:w="110"/>
              <w:bottom w:type="dxa" w:w="60"/>
              <w:right w:type="dxa" w:w="110"/>
            </w:tcMar>
          </w:tcPr>
          <w:p>
            <w:r>
              <w:rPr>
                <w:rFonts w:ascii="Calibri" w:cs="Calibri" w:eastAsia="Calibri" w:hAnsi="Calibri"/>
                <w:color w:val="334155"/>
                <w:sz w:val="19"/>
                <w:szCs w:val="19"/>
              </w:rPr>
              <w:t xml:space="preserve">Approve / Hold</w:t>
            </w:r>
          </w:p>
        </w:tc>
        <w:tc>
          <w:tcPr>
            <w:tcW w:type="dxa" w:w="2560"/>
            <w:shd w:fill="FFFFFF" w:val="clear"/>
            <w:tcMar>
              <w:top w:type="dxa" w:w="60"/>
              <w:left w:type="dxa" w:w="110"/>
              <w:bottom w:type="dxa" w:w="60"/>
              <w:right w:type="dxa" w:w="110"/>
            </w:tcMar>
          </w:tcPr>
          <w:p>
            <w:r>
              <w:rPr>
                <w:rFonts w:ascii="Calibri" w:cs="Calibri" w:eastAsia="Calibri" w:hAnsi="Calibri"/>
                <w:color w:val="334155"/>
                <w:sz w:val="19"/>
                <w:szCs w:val="19"/>
              </w:rPr>
              <w:t xml:space="preserve"/>
            </w:r>
          </w:p>
        </w:tc>
      </w:tr>
      <w:tr>
        <w:tc>
          <w:tcPr>
            <w:tcW w:type="dxa" w:w="2200"/>
            <w:shd w:fill="F8FAFC" w:val="clear"/>
            <w:tcMar>
              <w:top w:type="dxa" w:w="60"/>
              <w:left w:type="dxa" w:w="110"/>
              <w:bottom w:type="dxa" w:w="60"/>
              <w:right w:type="dxa" w:w="110"/>
            </w:tcMar>
          </w:tcPr>
          <w:p>
            <w:r>
              <w:rPr>
                <w:rFonts w:ascii="Calibri" w:cs="Calibri" w:eastAsia="Calibri" w:hAnsi="Calibri"/>
                <w:color w:val="334155"/>
                <w:sz w:val="19"/>
                <w:szCs w:val="19"/>
              </w:rPr>
              <w:t xml:space="preserve">Project Manager</w:t>
            </w:r>
          </w:p>
        </w:tc>
        <w:tc>
          <w:tcPr>
            <w:tcW w:type="dxa" w:w="2600"/>
            <w:shd w:fill="F8FAFC" w:val="clear"/>
            <w:tcMar>
              <w:top w:type="dxa" w:w="60"/>
              <w:left w:type="dxa" w:w="110"/>
              <w:bottom w:type="dxa" w:w="60"/>
              <w:right w:type="dxa" w:w="110"/>
            </w:tcMar>
          </w:tcPr>
          <w:p>
            <w:r>
              <w:rPr>
                <w:rFonts w:ascii="Calibri" w:cs="Calibri" w:eastAsia="Calibri" w:hAnsi="Calibri"/>
                <w:color w:val="334155"/>
                <w:sz w:val="19"/>
                <w:szCs w:val="19"/>
              </w:rPr>
              <w:t xml:space="preserve"/>
            </w:r>
          </w:p>
        </w:tc>
        <w:tc>
          <w:tcPr>
            <w:tcW w:type="dxa" w:w="2000"/>
            <w:shd w:fill="F8FAFC" w:val="clear"/>
            <w:tcMar>
              <w:top w:type="dxa" w:w="60"/>
              <w:left w:type="dxa" w:w="110"/>
              <w:bottom w:type="dxa" w:w="60"/>
              <w:right w:type="dxa" w:w="110"/>
            </w:tcMar>
          </w:tcPr>
          <w:p>
            <w:r>
              <w:rPr>
                <w:rFonts w:ascii="Calibri" w:cs="Calibri" w:eastAsia="Calibri" w:hAnsi="Calibri"/>
                <w:color w:val="334155"/>
                <w:sz w:val="19"/>
                <w:szCs w:val="19"/>
              </w:rPr>
              <w:t xml:space="preserve">Approve / Hold</w:t>
            </w:r>
          </w:p>
        </w:tc>
        <w:tc>
          <w:tcPr>
            <w:tcW w:type="dxa" w:w="2560"/>
            <w:shd w:fill="F8FAFC" w:val="clear"/>
            <w:tcMar>
              <w:top w:type="dxa" w:w="60"/>
              <w:left w:type="dxa" w:w="110"/>
              <w:bottom w:type="dxa" w:w="60"/>
              <w:right w:type="dxa" w:w="110"/>
            </w:tcMar>
          </w:tcPr>
          <w:p>
            <w:r>
              <w:rPr>
                <w:rFonts w:ascii="Calibri" w:cs="Calibri" w:eastAsia="Calibri" w:hAnsi="Calibri"/>
                <w:color w:val="334155"/>
                <w:sz w:val="19"/>
                <w:szCs w:val="19"/>
              </w:rPr>
              <w:t xml:space="preserve"/>
            </w:r>
          </w:p>
        </w:tc>
      </w:tr>
    </w:tbl>
    <w:p>
      <w:pPr>
        <w:spacing w:before="240"/>
      </w:pPr>
      <w:r>
        <w:rPr>
          <w:rFonts w:ascii="Calibri" w:cs="Calibri" w:eastAsia="Calibri" w:hAnsi="Calibri"/>
          <w:i/>
          <w:iCs/>
          <w:color w:val="64748B"/>
          <w:sz w:val="16"/>
          <w:szCs w:val="16"/>
        </w:rPr>
        <w:t xml:space="preserve">Document Classification: CONFIDENTIAL   |   Distribution: Project Team and Customer Management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5"/>
        <w:szCs w:val="15"/>
      </w:rPr>
      <w:t xml:space="preserve">SQL Server 2016 → 2022 Upgrade Programme     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of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Calibri" w:cs="Calibri" w:eastAsia="Calibri" w:hAnsi="Calibri"/>
        <w:color w:val="64748B"/>
        <w:sz w:val="15"/>
        <w:szCs w:val="15"/>
      </w:rPr>
      <w:t xml:space="preserve">Instance Consolidation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507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2026-07-12T13:25:05.423Z</dcterms:created>
  <dcterms:modified xsi:type="dcterms:W3CDTF">2026-07-12T13:25:05.424Z</dcterms:modified>
</cp:coreProperties>
</file>

<file path=docProps/custom.xml><?xml version="1.0" encoding="utf-8"?>
<Properties xmlns="http://schemas.openxmlformats.org/officeDocument/2006/custom-properties" xmlns:vt="http://schemas.openxmlformats.org/officeDocument/2006/docPropsVTypes"/>
</file>