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60" w:before="0"/>
        <w:jc w:val="center"/>
      </w:pPr>
      <w:r>
        <w:rPr>
          <w:rFonts w:ascii="Arial" w:cs="Arial" w:eastAsia="Arial" w:hAnsi="Arial"/>
          <w:b/>
          <w:bCs/>
          <w:color w:val="1F3864"/>
          <w:sz w:val="52"/>
          <w:szCs w:val="52"/>
        </w:rPr>
        <w:t xml:space="preserve">SQL SERVER UPGRADE PROJECT</w:t>
      </w:r>
    </w:p>
    <w:p>
      <w:pPr>
        <w:spacing w:after="60" w:before="0"/>
        <w:jc w:val="center"/>
      </w:pPr>
      <w:r>
        <w:rPr>
          <w:rFonts w:ascii="Arial" w:cs="Arial" w:eastAsia="Arial" w:hAnsi="Arial"/>
          <w:color w:val="2E75B6"/>
          <w:sz w:val="36"/>
          <w:szCs w:val="36"/>
        </w:rPr>
        <w:t xml:space="preserve">Tracking &amp; Status Report</w:t>
      </w:r>
    </w:p>
    <w:p>
      <w:pPr>
        <w:spacing w:after="200" w:before="0"/>
        <w:jc w:val="center"/>
      </w:pPr>
      <w:r>
        <w:rPr>
          <w:rFonts w:ascii="Arial" w:cs="Arial" w:eastAsia="Arial" w:hAnsi="Arial"/>
          <w:i/>
          <w:iCs/>
          <w:color w:val="595959"/>
          <w:sz w:val="24"/>
          <w:szCs w:val="24"/>
        </w:rPr>
        <w:t xml:space="preserve">SQL Server 2016  →  SQL Server 2022   |   Windows 2016/2019  →  Windows Server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5E3F0" w:val="clear"/>
            <w:tcMar>
              <w:top w:type="dxa" w:w="80"/>
              <w:left w:type="dxa" w:w="140"/>
              <w:bottom w:type="dxa" w:w="80"/>
              <w:right w:type="dxa" w:w="140"/>
            </w:tcMar>
          </w:tcPr>
          <w:p>
            <w:r>
              <w:rPr>
                <w:rFonts w:ascii="Arial" w:cs="Arial" w:eastAsia="Arial" w:hAnsi="Arial"/>
                <w:b/>
                <w:bCs/>
                <w:color w:val="1F3864"/>
                <w:sz w:val="18"/>
                <w:szCs w:val="18"/>
              </w:rPr>
              <w:t xml:space="preserve">Customer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000000"/>
                <w:sz w:val="18"/>
                <w:szCs w:val="18"/>
              </w:rPr>
              <w:t xml:space="preserve">[Customer Name]</w:t>
            </w:r>
          </w:p>
        </w:tc>
      </w:tr>
      <w:tr>
        <w:tc>
          <w:tcPr>
            <w:tcW w:type="dxa" w:w="2200"/>
            <w:tcBorders>
              <w:top w:val="single" w:color="CCCCCC" w:sz="4"/>
              <w:left w:val="single" w:color="CCCCCC" w:sz="4"/>
              <w:bottom w:val="single" w:color="CCCCCC" w:sz="4"/>
              <w:right w:val="single" w:color="CCCCCC" w:sz="4"/>
            </w:tcBorders>
            <w:shd w:fill="D5E3F0" w:val="clear"/>
            <w:tcMar>
              <w:top w:type="dxa" w:w="80"/>
              <w:left w:type="dxa" w:w="140"/>
              <w:bottom w:type="dxa" w:w="80"/>
              <w:right w:type="dxa" w:w="140"/>
            </w:tcMar>
          </w:tcPr>
          <w:p>
            <w:r>
              <w:rPr>
                <w:rFonts w:ascii="Arial" w:cs="Arial" w:eastAsia="Arial" w:hAnsi="Arial"/>
                <w:b/>
                <w:bCs/>
                <w:color w:val="1F3864"/>
                <w:sz w:val="18"/>
                <w:szCs w:val="18"/>
              </w:rPr>
              <w:t xml:space="preserve">Project Manager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000000"/>
                <w:sz w:val="18"/>
                <w:szCs w:val="18"/>
              </w:rPr>
              <w:t xml:space="preserve">[Project Manager Name]</w:t>
            </w:r>
          </w:p>
        </w:tc>
      </w:tr>
      <w:tr>
        <w:tc>
          <w:tcPr>
            <w:tcW w:type="dxa" w:w="2200"/>
            <w:tcBorders>
              <w:top w:val="single" w:color="CCCCCC" w:sz="4"/>
              <w:left w:val="single" w:color="CCCCCC" w:sz="4"/>
              <w:bottom w:val="single" w:color="CCCCCC" w:sz="4"/>
              <w:right w:val="single" w:color="CCCCCC" w:sz="4"/>
            </w:tcBorders>
            <w:shd w:fill="D5E3F0" w:val="clear"/>
            <w:tcMar>
              <w:top w:type="dxa" w:w="80"/>
              <w:left w:type="dxa" w:w="140"/>
              <w:bottom w:type="dxa" w:w="80"/>
              <w:right w:type="dxa" w:w="140"/>
            </w:tcMar>
          </w:tcPr>
          <w:p>
            <w:r>
              <w:rPr>
                <w:rFonts w:ascii="Arial" w:cs="Arial" w:eastAsia="Arial" w:hAnsi="Arial"/>
                <w:b/>
                <w:bCs/>
                <w:color w:val="1F3864"/>
                <w:sz w:val="18"/>
                <w:szCs w:val="18"/>
              </w:rPr>
              <w:t xml:space="preserve">Lead DBA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000000"/>
                <w:sz w:val="18"/>
                <w:szCs w:val="18"/>
              </w:rPr>
              <w:t xml:space="preserve">[Lead DBA Name]</w:t>
            </w:r>
          </w:p>
        </w:tc>
      </w:tr>
      <w:tr>
        <w:tc>
          <w:tcPr>
            <w:tcW w:type="dxa" w:w="2200"/>
            <w:tcBorders>
              <w:top w:val="single" w:color="CCCCCC" w:sz="4"/>
              <w:left w:val="single" w:color="CCCCCC" w:sz="4"/>
              <w:bottom w:val="single" w:color="CCCCCC" w:sz="4"/>
              <w:right w:val="single" w:color="CCCCCC" w:sz="4"/>
            </w:tcBorders>
            <w:shd w:fill="D5E3F0" w:val="clear"/>
            <w:tcMar>
              <w:top w:type="dxa" w:w="80"/>
              <w:left w:type="dxa" w:w="140"/>
              <w:bottom w:type="dxa" w:w="80"/>
              <w:right w:type="dxa" w:w="140"/>
            </w:tcMar>
          </w:tcPr>
          <w:p>
            <w:r>
              <w:rPr>
                <w:rFonts w:ascii="Arial" w:cs="Arial" w:eastAsia="Arial" w:hAnsi="Arial"/>
                <w:b/>
                <w:bCs/>
                <w:color w:val="1F3864"/>
                <w:sz w:val="18"/>
                <w:szCs w:val="18"/>
              </w:rPr>
              <w:t xml:space="preserve">Report Date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000000"/>
                <w:sz w:val="18"/>
                <w:szCs w:val="18"/>
              </w:rPr>
              <w:t xml:space="preserve">26 June 2026</w:t>
            </w:r>
          </w:p>
        </w:tc>
      </w:tr>
      <w:tr>
        <w:tc>
          <w:tcPr>
            <w:tcW w:type="dxa" w:w="2200"/>
            <w:tcBorders>
              <w:top w:val="single" w:color="CCCCCC" w:sz="4"/>
              <w:left w:val="single" w:color="CCCCCC" w:sz="4"/>
              <w:bottom w:val="single" w:color="CCCCCC" w:sz="4"/>
              <w:right w:val="single" w:color="CCCCCC" w:sz="4"/>
            </w:tcBorders>
            <w:shd w:fill="D5E3F0" w:val="clear"/>
            <w:tcMar>
              <w:top w:type="dxa" w:w="80"/>
              <w:left w:type="dxa" w:w="140"/>
              <w:bottom w:type="dxa" w:w="80"/>
              <w:right w:type="dxa" w:w="140"/>
            </w:tcMar>
          </w:tcPr>
          <w:p>
            <w:r>
              <w:rPr>
                <w:rFonts w:ascii="Arial" w:cs="Arial" w:eastAsia="Arial" w:hAnsi="Arial"/>
                <w:b/>
                <w:bCs/>
                <w:color w:val="1F3864"/>
                <w:sz w:val="18"/>
                <w:szCs w:val="18"/>
              </w:rPr>
              <w:t xml:space="preserve">Project Start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000000"/>
                <w:sz w:val="18"/>
                <w:szCs w:val="18"/>
              </w:rPr>
              <w:t xml:space="preserve">[DD/MM/YYYY]</w:t>
            </w:r>
          </w:p>
        </w:tc>
      </w:tr>
      <w:tr>
        <w:tc>
          <w:tcPr>
            <w:tcW w:type="dxa" w:w="2200"/>
            <w:tcBorders>
              <w:top w:val="single" w:color="CCCCCC" w:sz="4"/>
              <w:left w:val="single" w:color="CCCCCC" w:sz="4"/>
              <w:bottom w:val="single" w:color="CCCCCC" w:sz="4"/>
              <w:right w:val="single" w:color="CCCCCC" w:sz="4"/>
            </w:tcBorders>
            <w:shd w:fill="D5E3F0" w:val="clear"/>
            <w:tcMar>
              <w:top w:type="dxa" w:w="80"/>
              <w:left w:type="dxa" w:w="140"/>
              <w:bottom w:type="dxa" w:w="80"/>
              <w:right w:type="dxa" w:w="140"/>
            </w:tcMar>
          </w:tcPr>
          <w:p>
            <w:r>
              <w:rPr>
                <w:rFonts w:ascii="Arial" w:cs="Arial" w:eastAsia="Arial" w:hAnsi="Arial"/>
                <w:b/>
                <w:bCs/>
                <w:color w:val="1F3864"/>
                <w:sz w:val="18"/>
                <w:szCs w:val="18"/>
              </w:rPr>
              <w:t xml:space="preserve">Target Completion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000000"/>
                <w:sz w:val="18"/>
                <w:szCs w:val="18"/>
              </w:rPr>
              <w:t xml:space="preserve">[DD/MM/YYYY]</w:t>
            </w:r>
          </w:p>
        </w:tc>
      </w:tr>
      <w:tr>
        <w:tc>
          <w:tcPr>
            <w:tcW w:type="dxa" w:w="2200"/>
            <w:tcBorders>
              <w:top w:val="single" w:color="CCCCCC" w:sz="4"/>
              <w:left w:val="single" w:color="CCCCCC" w:sz="4"/>
              <w:bottom w:val="single" w:color="CCCCCC" w:sz="4"/>
              <w:right w:val="single" w:color="CCCCCC" w:sz="4"/>
            </w:tcBorders>
            <w:shd w:fill="D5E3F0" w:val="clear"/>
            <w:tcMar>
              <w:top w:type="dxa" w:w="80"/>
              <w:left w:type="dxa" w:w="140"/>
              <w:bottom w:type="dxa" w:w="80"/>
              <w:right w:type="dxa" w:w="140"/>
            </w:tcMar>
          </w:tcPr>
          <w:p>
            <w:r>
              <w:rPr>
                <w:rFonts w:ascii="Arial" w:cs="Arial" w:eastAsia="Arial" w:hAnsi="Arial"/>
                <w:b/>
                <w:bCs/>
                <w:color w:val="1F3864"/>
                <w:sz w:val="18"/>
                <w:szCs w:val="18"/>
              </w:rPr>
              <w:t xml:space="preserve">Document Version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000000"/>
                <w:sz w:val="18"/>
                <w:szCs w:val="18"/>
              </w:rPr>
              <w:t xml:space="preserve">v2.0  —  Updated with Topology, SfB Decommission &amp; Roadmap</w:t>
            </w:r>
          </w:p>
        </w:tc>
      </w:tr>
    </w:tbl>
    <w:p>
      <w:pPr>
        <w:spacing w:after="0" w:before="24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1  Executive Summary</w:t>
      </w:r>
    </w:p>
    <w:p>
      <w:pPr>
        <w:spacing w:after="100" w:before="60"/>
        <w:jc w:val="left"/>
      </w:pPr>
      <w:r>
        <w:rPr>
          <w:rFonts w:ascii="Arial" w:cs="Arial" w:eastAsia="Arial" w:hAnsi="Arial"/>
          <w:b w:val="false"/>
          <w:bCs w:val="false"/>
          <w:i w:val="false"/>
          <w:iCs w:val="false"/>
          <w:color w:val="000000"/>
          <w:sz w:val="20"/>
          <w:szCs w:val="20"/>
        </w:rPr>
        <w:t xml:space="preserve">This document provides a consolidated view of the SQL Server infrastructure upgrade programme, HA/DR topology, Skype for Business decommission, and future technology roadmap. The core objective is to migrate all SQL Server 2016 instances to SQL Server 2022 on Windows Server 2025, underpinned by an Always On Availability Group architecture providing high availability within Site A and geographic disaster recovery to Site B approximately 400 miles away.</w:t>
      </w:r>
    </w:p>
    <w:p>
      <w:pPr>
        <w:spacing w:after="0" w:before="80"/>
      </w:pPr>
      <w:r>
        <w:t xml:space="preserve"/>
      </w:r>
    </w:p>
    <w:p>
      <w:pPr>
        <w:spacing w:after="100" w:before="60"/>
        <w:jc w:val="left"/>
      </w:pPr>
      <w:r>
        <w:rPr>
          <w:rFonts w:ascii="Arial" w:cs="Arial" w:eastAsia="Arial" w:hAnsi="Arial"/>
          <w:b/>
          <w:bCs/>
          <w:i w:val="false"/>
          <w:iCs w:val="false"/>
          <w:color w:val="1F3864"/>
          <w:sz w:val="20"/>
          <w:szCs w:val="20"/>
        </w:rPr>
        <w:t xml:space="preserve">Project Progress at a Glance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2"/>
              <w:left w:val="single" w:color="1F3864" w:sz="12"/>
              <w:bottom w:val="single" w:color="1F3864" w:sz="12"/>
              <w:right w:val="single" w:color="1F3864" w:sz="12"/>
            </w:tcBorders>
            <w:shd w:fill="1F3864" w:val="clear"/>
            <w:tcMar>
              <w:top w:type="dxa" w:w="160"/>
              <w:left w:type="dxa" w:w="120"/>
              <w:bottom w:type="dxa" w:w="160"/>
              <w:right w:type="dxa" w:w="120"/>
            </w:tcMar>
            <w:vAlign w:val="center"/>
          </w:tcPr>
          <w:p>
            <w:pPr>
              <w:spacing w:after="40" w:before="0"/>
              <w:jc w:val="center"/>
            </w:pPr>
            <w:r>
              <w:rPr>
                <w:rFonts w:ascii="Arial" w:cs="Arial" w:eastAsia="Arial" w:hAnsi="Arial"/>
                <w:b/>
                <w:bCs/>
                <w:color w:val="FFFFFF"/>
                <w:sz w:val="52"/>
                <w:szCs w:val="52"/>
              </w:rPr>
              <w:t xml:space="preserve">8</w:t>
            </w:r>
          </w:p>
          <w:p>
            <w:pPr>
              <w:spacing w:after="0" w:before="0"/>
              <w:jc w:val="center"/>
            </w:pPr>
            <w:r>
              <w:rPr>
                <w:rFonts w:ascii="Arial" w:cs="Arial" w:eastAsia="Arial" w:hAnsi="Arial"/>
                <w:color w:val="FFFFFF"/>
                <w:sz w:val="16"/>
                <w:szCs w:val="16"/>
              </w:rPr>
              <w:t xml:space="preserve">Total Servers</w:t>
            </w:r>
          </w:p>
        </w:tc>
        <w:tc>
          <w:tcPr>
            <w:tcW w:type="dxa" w:w="2340"/>
            <w:tcBorders>
              <w:top w:val="single" w:color="E2EFDA" w:sz="12"/>
              <w:left w:val="single" w:color="E2EFDA" w:sz="12"/>
              <w:bottom w:val="single" w:color="E2EFDA" w:sz="12"/>
              <w:right w:val="single" w:color="E2EFDA" w:sz="12"/>
            </w:tcBorders>
            <w:shd w:fill="E2EFDA" w:val="clear"/>
            <w:tcMar>
              <w:top w:type="dxa" w:w="160"/>
              <w:left w:type="dxa" w:w="120"/>
              <w:bottom w:type="dxa" w:w="160"/>
              <w:right w:type="dxa" w:w="120"/>
            </w:tcMar>
            <w:vAlign w:val="center"/>
          </w:tcPr>
          <w:p>
            <w:pPr>
              <w:spacing w:after="40" w:before="0"/>
              <w:jc w:val="center"/>
            </w:pPr>
            <w:r>
              <w:rPr>
                <w:rFonts w:ascii="Arial" w:cs="Arial" w:eastAsia="Arial" w:hAnsi="Arial"/>
                <w:b/>
                <w:bCs/>
                <w:color w:val="375623"/>
                <w:sz w:val="52"/>
                <w:szCs w:val="52"/>
              </w:rPr>
              <w:t xml:space="preserve">2</w:t>
            </w:r>
          </w:p>
          <w:p>
            <w:pPr>
              <w:spacing w:after="0" w:before="0"/>
              <w:jc w:val="center"/>
            </w:pPr>
            <w:r>
              <w:rPr>
                <w:rFonts w:ascii="Arial" w:cs="Arial" w:eastAsia="Arial" w:hAnsi="Arial"/>
                <w:color w:val="375623"/>
                <w:sz w:val="16"/>
                <w:szCs w:val="16"/>
              </w:rPr>
              <w:t xml:space="preserve">Completed</w:t>
            </w:r>
          </w:p>
        </w:tc>
        <w:tc>
          <w:tcPr>
            <w:tcW w:type="dxa" w:w="2340"/>
            <w:tcBorders>
              <w:top w:val="single" w:color="FFF2CC" w:sz="12"/>
              <w:left w:val="single" w:color="FFF2CC" w:sz="12"/>
              <w:bottom w:val="single" w:color="FFF2CC" w:sz="12"/>
              <w:right w:val="single" w:color="FFF2CC" w:sz="12"/>
            </w:tcBorders>
            <w:shd w:fill="FFF2CC" w:val="clear"/>
            <w:tcMar>
              <w:top w:type="dxa" w:w="160"/>
              <w:left w:type="dxa" w:w="120"/>
              <w:bottom w:type="dxa" w:w="160"/>
              <w:right w:type="dxa" w:w="120"/>
            </w:tcMar>
            <w:vAlign w:val="center"/>
          </w:tcPr>
          <w:p>
            <w:pPr>
              <w:spacing w:after="40" w:before="0"/>
              <w:jc w:val="center"/>
            </w:pPr>
            <w:r>
              <w:rPr>
                <w:rFonts w:ascii="Arial" w:cs="Arial" w:eastAsia="Arial" w:hAnsi="Arial"/>
                <w:b/>
                <w:bCs/>
                <w:color w:val="7F6000"/>
                <w:sz w:val="52"/>
                <w:szCs w:val="52"/>
              </w:rPr>
              <w:t xml:space="preserve">2</w:t>
            </w:r>
          </w:p>
          <w:p>
            <w:pPr>
              <w:spacing w:after="0" w:before="0"/>
              <w:jc w:val="center"/>
            </w:pPr>
            <w:r>
              <w:rPr>
                <w:rFonts w:ascii="Arial" w:cs="Arial" w:eastAsia="Arial" w:hAnsi="Arial"/>
                <w:color w:val="7F6000"/>
                <w:sz w:val="16"/>
                <w:szCs w:val="16"/>
              </w:rPr>
              <w:t xml:space="preserve">In Progress</w:t>
            </w:r>
          </w:p>
        </w:tc>
        <w:tc>
          <w:tcPr>
            <w:tcW w:type="dxa" w:w="2340"/>
            <w:tcBorders>
              <w:top w:val="single" w:color="FCE4D6" w:sz="12"/>
              <w:left w:val="single" w:color="FCE4D6" w:sz="12"/>
              <w:bottom w:val="single" w:color="FCE4D6" w:sz="12"/>
              <w:right w:val="single" w:color="FCE4D6" w:sz="12"/>
            </w:tcBorders>
            <w:shd w:fill="FCE4D6" w:val="clear"/>
            <w:tcMar>
              <w:top w:type="dxa" w:w="160"/>
              <w:left w:type="dxa" w:w="120"/>
              <w:bottom w:type="dxa" w:w="160"/>
              <w:right w:type="dxa" w:w="120"/>
            </w:tcMar>
            <w:vAlign w:val="center"/>
          </w:tcPr>
          <w:p>
            <w:pPr>
              <w:spacing w:after="40" w:before="0"/>
              <w:jc w:val="center"/>
            </w:pPr>
            <w:r>
              <w:rPr>
                <w:rFonts w:ascii="Arial" w:cs="Arial" w:eastAsia="Arial" w:hAnsi="Arial"/>
                <w:b/>
                <w:bCs/>
                <w:color w:val="843C0C"/>
                <w:sz w:val="52"/>
                <w:szCs w:val="52"/>
              </w:rPr>
              <w:t xml:space="preserve">4</w:t>
            </w:r>
          </w:p>
          <w:p>
            <w:pPr>
              <w:spacing w:after="0" w:before="0"/>
              <w:jc w:val="center"/>
            </w:pPr>
            <w:r>
              <w:rPr>
                <w:rFonts w:ascii="Arial" w:cs="Arial" w:eastAsia="Arial" w:hAnsi="Arial"/>
                <w:color w:val="843C0C"/>
                <w:sz w:val="16"/>
                <w:szCs w:val="16"/>
              </w:rPr>
              <w:t xml:space="preserve">Not Started</w:t>
            </w:r>
          </w:p>
        </w:tc>
      </w:tr>
    </w:tbl>
    <w:p>
      <w:pPr>
        <w:spacing w:after="0" w:before="80"/>
      </w:pPr>
      <w:r>
        <w:t xml:space="preserve"/>
      </w:r>
    </w:p>
    <w:p>
      <w:pPr>
        <w:spacing w:after="100" w:before="60"/>
        <w:jc w:val="left"/>
      </w:pPr>
      <w:r>
        <w:rPr>
          <w:rFonts w:ascii="Arial" w:cs="Arial" w:eastAsia="Arial" w:hAnsi="Arial"/>
          <w:b w:val="false"/>
          <w:bCs w:val="false"/>
          <w:i/>
          <w:iCs/>
          <w:color w:val="595959"/>
          <w:sz w:val="20"/>
          <w:szCs w:val="20"/>
        </w:rPr>
        <w:t xml:space="preserve">Two non-production environments (Development and UAT) have been successfully upgraded and validated. Disaster Recovery and Integration servers are actively in progress. Production servers are scheduled to follow once DR validation is complete.</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2  HA / DR Architecture Topology</w:t>
      </w:r>
    </w:p>
    <w:p>
      <w:pPr>
        <w:spacing w:after="100" w:before="60"/>
        <w:jc w:val="left"/>
      </w:pPr>
      <w:r>
        <w:rPr>
          <w:rFonts w:ascii="Arial" w:cs="Arial" w:eastAsia="Arial" w:hAnsi="Arial"/>
          <w:b w:val="false"/>
          <w:bCs w:val="false"/>
          <w:i w:val="false"/>
          <w:iCs w:val="false"/>
          <w:color w:val="000000"/>
          <w:sz w:val="20"/>
          <w:szCs w:val="20"/>
        </w:rPr>
        <w:t xml:space="preserve">The diagram below illustrates the Always On Availability Group configuration spanning two geographically separate data centres. Site A hosts the Primary and Secondary replicas with synchronous commit and automatic failover. Site B provides asynchronous disaster recovery approximately 400 miles away with manual failover capability.</w:t>
      </w:r>
    </w:p>
    <w:p>
      <w:pPr>
        <w:spacing w:after="0" w:before="100"/>
      </w:pPr>
      <w:r>
        <w:t xml:space="preserve"/>
      </w:r>
    </w:p>
    <w:p>
      <w:pPr>
        <w:spacing w:after="0" w:before="0"/>
        <w:jc w:val="center"/>
      </w:pPr>
      <w:r>
        <w:drawing>
          <wp:inline distT="0" distB="0" distL="0" distR="0">
            <wp:extent cx="8572500" cy="4000500"/>
            <wp:effectExtent t="0" r="0" b="0" l="0"/>
            <wp:docPr id="1" name="topology" descr="Always On Availability Group topology across Site A and Site B" title="HA/DR Top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0" cy="4000500"/>
                    </a:xfrm>
                    <a:prstGeom prst="rect">
                      <a:avLst/>
                    </a:prstGeom>
                  </pic:spPr>
                </pic:pic>
              </a:graphicData>
            </a:graphic>
          </wp:inline>
        </w:drawing>
      </w:r>
    </w:p>
    <w:p>
      <w:pPr>
        <w:spacing w:after="0" w:before="120"/>
      </w:pPr>
      <w:r>
        <w:t xml:space="preserve"/>
      </w:r>
    </w:p>
    <w:p>
      <w:pPr>
        <w:pStyle w:val="Heading2"/>
        <w:spacing w:after="80" w:before="240"/>
      </w:pPr>
      <w:r>
        <w:rPr>
          <w:rFonts w:ascii="Arial" w:cs="Arial" w:eastAsia="Arial" w:hAnsi="Arial"/>
          <w:b/>
          <w:bCs/>
          <w:color w:val="2E75B6"/>
          <w:sz w:val="22"/>
          <w:szCs w:val="22"/>
        </w:rPr>
        <w:t xml:space="preserve">2.1  Site A — Primary Data Centre</w:t>
      </w:r>
    </w:p>
    <w:p>
      <w:pPr>
        <w:spacing w:after="100" w:before="60"/>
        <w:jc w:val="left"/>
      </w:pPr>
      <w:r>
        <w:rPr>
          <w:rFonts w:ascii="Arial" w:cs="Arial" w:eastAsia="Arial" w:hAnsi="Arial"/>
          <w:b w:val="false"/>
          <w:bCs w:val="false"/>
          <w:i w:val="false"/>
          <w:iCs w:val="false"/>
          <w:color w:val="000000"/>
          <w:sz w:val="20"/>
          <w:szCs w:val="20"/>
        </w:rPr>
        <w:t xml:space="preserve">Site A is the primary data centre hosting the production SQL Server workload. Two SQL Server 2022 instances on Windows Server 2025 virtual machines form the core of the availability group:</w:t>
      </w:r>
    </w:p>
    <w:p>
      <w:pPr>
        <w:pStyle w:val="ListParagraph"/>
        <w:numPr>
          <w:ilvl w:val="0"/>
          <w:numId w:val="2"/>
        </w:numPr>
        <w:spacing w:after="40" w:before="40"/>
      </w:pPr>
      <w:r>
        <w:rPr>
          <w:rFonts w:ascii="Arial" w:cs="Arial" w:eastAsia="Arial" w:hAnsi="Arial"/>
          <w:b w:val="false"/>
          <w:bCs w:val="false"/>
          <w:color w:val="000000"/>
          <w:sz w:val="20"/>
          <w:szCs w:val="20"/>
        </w:rPr>
        <w:t xml:space="preserve">SQL-PROD-01 (Primary Replica) — read/write endpoint; receives all application transactions via the Availability Group Listener.</w:t>
      </w:r>
    </w:p>
    <w:p>
      <w:pPr>
        <w:pStyle w:val="ListParagraph"/>
        <w:numPr>
          <w:ilvl w:val="0"/>
          <w:numId w:val="2"/>
        </w:numPr>
        <w:spacing w:after="40" w:before="40"/>
      </w:pPr>
      <w:r>
        <w:rPr>
          <w:rFonts w:ascii="Arial" w:cs="Arial" w:eastAsia="Arial" w:hAnsi="Arial"/>
          <w:b w:val="false"/>
          <w:bCs w:val="false"/>
          <w:color w:val="000000"/>
          <w:sz w:val="20"/>
          <w:szCs w:val="20"/>
        </w:rPr>
        <w:t xml:space="preserve">SQL-PROD-02 (Secondary Replica) — synchronous commit; eligible for automatic failover. Serves read-only reporting queries to offload the primary.</w:t>
      </w:r>
    </w:p>
    <w:p>
      <w:pPr>
        <w:pStyle w:val="ListParagraph"/>
        <w:numPr>
          <w:ilvl w:val="0"/>
          <w:numId w:val="2"/>
        </w:numPr>
        <w:spacing w:after="40" w:before="40"/>
      </w:pPr>
      <w:r>
        <w:rPr>
          <w:rFonts w:ascii="Arial" w:cs="Arial" w:eastAsia="Arial" w:hAnsi="Arial"/>
          <w:b w:val="false"/>
          <w:bCs w:val="false"/>
          <w:color w:val="000000"/>
          <w:sz w:val="20"/>
          <w:szCs w:val="20"/>
        </w:rPr>
        <w:t xml:space="preserve">Availability Group Listener (AG-LISTENER-01) — single virtual network name and IP address that client applications connect to. Automatically routes to the current primary without application reconfiguration during failover.</w:t>
      </w:r>
    </w:p>
    <w:p>
      <w:pPr>
        <w:pStyle w:val="ListParagraph"/>
        <w:numPr>
          <w:ilvl w:val="0"/>
          <w:numId w:val="2"/>
        </w:numPr>
        <w:spacing w:after="40" w:before="40"/>
      </w:pPr>
      <w:r>
        <w:rPr>
          <w:rFonts w:ascii="Arial" w:cs="Arial" w:eastAsia="Arial" w:hAnsi="Arial"/>
          <w:b w:val="false"/>
          <w:bCs w:val="false"/>
          <w:color w:val="000000"/>
          <w:sz w:val="20"/>
          <w:szCs w:val="20"/>
        </w:rPr>
        <w:t xml:space="preserve">Windows Server Failover Cluster (WSFC) — underpins the AG; monitors node health and orchestrates automatic failover within Site A with zero data loss (synchronous commit mode).</w:t>
      </w:r>
    </w:p>
    <w:p>
      <w:pPr>
        <w:spacing w:after="0" w:before="80"/>
      </w:pPr>
      <w:r>
        <w:t xml:space="preserve"/>
      </w:r>
    </w:p>
    <w:p>
      <w:pPr>
        <w:pStyle w:val="Heading2"/>
        <w:spacing w:after="80" w:before="240"/>
      </w:pPr>
      <w:r>
        <w:rPr>
          <w:rFonts w:ascii="Arial" w:cs="Arial" w:eastAsia="Arial" w:hAnsi="Arial"/>
          <w:b/>
          <w:bCs/>
          <w:color w:val="2E75B6"/>
          <w:sz w:val="22"/>
          <w:szCs w:val="22"/>
        </w:rPr>
        <w:t xml:space="preserve">2.2  Site B — Disaster Recovery Data Centre (~400 miles)</w:t>
      </w:r>
    </w:p>
    <w:p>
      <w:pPr>
        <w:spacing w:after="100" w:before="60"/>
        <w:jc w:val="left"/>
      </w:pPr>
      <w:r>
        <w:rPr>
          <w:rFonts w:ascii="Arial" w:cs="Arial" w:eastAsia="Arial" w:hAnsi="Arial"/>
          <w:b w:val="false"/>
          <w:bCs w:val="false"/>
          <w:i w:val="false"/>
          <w:iCs w:val="false"/>
          <w:color w:val="000000"/>
          <w:sz w:val="20"/>
          <w:szCs w:val="20"/>
        </w:rPr>
        <w:t xml:space="preserve">Site B provides geographic resilience against a complete Site A failure. The DR replica operates in asynchronous commit mode due to the WAN latency inherent at 400 miles distance:</w:t>
      </w:r>
    </w:p>
    <w:p>
      <w:pPr>
        <w:pStyle w:val="ListParagraph"/>
        <w:numPr>
          <w:ilvl w:val="0"/>
          <w:numId w:val="2"/>
        </w:numPr>
        <w:spacing w:after="40" w:before="40"/>
      </w:pPr>
      <w:r>
        <w:rPr>
          <w:rFonts w:ascii="Arial" w:cs="Arial" w:eastAsia="Arial" w:hAnsi="Arial"/>
          <w:b w:val="false"/>
          <w:bCs w:val="false"/>
          <w:color w:val="000000"/>
          <w:sz w:val="20"/>
          <w:szCs w:val="20"/>
        </w:rPr>
        <w:t xml:space="preserve">SQL-DR-01 (Asynchronous DR Replica) — receives replicated data over a dedicated MPLS / VPN WAN link. Asynchronous mode ensures no performance impact on Site A transactions.</w:t>
      </w:r>
    </w:p>
    <w:p>
      <w:pPr>
        <w:pStyle w:val="ListParagraph"/>
        <w:numPr>
          <w:ilvl w:val="0"/>
          <w:numId w:val="2"/>
        </w:numPr>
        <w:spacing w:after="40" w:before="40"/>
      </w:pPr>
      <w:r>
        <w:rPr>
          <w:rFonts w:ascii="Arial" w:cs="Arial" w:eastAsia="Arial" w:hAnsi="Arial"/>
          <w:b w:val="false"/>
          <w:bCs w:val="false"/>
          <w:color w:val="000000"/>
          <w:sz w:val="20"/>
          <w:szCs w:val="20"/>
        </w:rPr>
        <w:t xml:space="preserve">Recovery Point Objective (RPO): typically seconds, dependent on WAN throughput and transaction rate.</w:t>
      </w:r>
    </w:p>
    <w:p>
      <w:pPr>
        <w:pStyle w:val="ListParagraph"/>
        <w:numPr>
          <w:ilvl w:val="0"/>
          <w:numId w:val="2"/>
        </w:numPr>
        <w:spacing w:after="40" w:before="40"/>
      </w:pPr>
      <w:r>
        <w:rPr>
          <w:rFonts w:ascii="Arial" w:cs="Arial" w:eastAsia="Arial" w:hAnsi="Arial"/>
          <w:b w:val="false"/>
          <w:bCs w:val="false"/>
          <w:color w:val="000000"/>
          <w:sz w:val="20"/>
          <w:szCs w:val="20"/>
        </w:rPr>
        <w:t xml:space="preserve">Recovery Time Objective (RTO): target under 15 minutes, subject to manual failover approval and application redirection.</w:t>
      </w:r>
    </w:p>
    <w:p>
      <w:pPr>
        <w:pStyle w:val="ListParagraph"/>
        <w:numPr>
          <w:ilvl w:val="0"/>
          <w:numId w:val="2"/>
        </w:numPr>
        <w:spacing w:after="40" w:before="40"/>
      </w:pPr>
      <w:r>
        <w:rPr>
          <w:rFonts w:ascii="Arial" w:cs="Arial" w:eastAsia="Arial" w:hAnsi="Arial"/>
          <w:b w:val="false"/>
          <w:bCs w:val="false"/>
          <w:color w:val="000000"/>
          <w:sz w:val="20"/>
          <w:szCs w:val="20"/>
        </w:rPr>
        <w:t xml:space="preserve">Manual failover to Site B requires approval from the Lead DBA and Project Manager. Forced failover is available if Site A is entirely unreachable, accepting potential minimal data loss.</w:t>
      </w:r>
    </w:p>
    <w:p>
      <w:pPr>
        <w:spacing w:after="0" w:before="80"/>
      </w:pPr>
      <w:r>
        <w:t xml:space="preserve"/>
      </w:r>
    </w:p>
    <w:p>
      <w:pPr>
        <w:pStyle w:val="Heading2"/>
        <w:spacing w:after="80" w:before="240"/>
      </w:pPr>
      <w:r>
        <w:rPr>
          <w:rFonts w:ascii="Arial" w:cs="Arial" w:eastAsia="Arial" w:hAnsi="Arial"/>
          <w:b/>
          <w:bCs/>
          <w:color w:val="2E75B6"/>
          <w:sz w:val="22"/>
          <w:szCs w:val="22"/>
        </w:rPr>
        <w:t xml:space="preserve">2.3  Failover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w:trPr>
          <w:tblHeader/>
        </w:trPr>
        <w:tc>
          <w:tcPr>
            <w:tcW w:type="dxa" w:w="30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Scenario</w:t>
            </w:r>
          </w:p>
        </w:tc>
        <w:tc>
          <w:tcPr>
            <w:tcW w:type="dxa" w:w="25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Failover Type</w:t>
            </w:r>
          </w:p>
        </w:tc>
        <w:tc>
          <w:tcPr>
            <w:tcW w:type="dxa" w:w="20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Data Loss</w:t>
            </w:r>
          </w:p>
        </w:tc>
        <w:tc>
          <w:tcPr>
            <w:tcW w:type="dxa" w:w="18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RTO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SQL-PROD-01 node failure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Automatic (within Site 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None (synchronous)</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&lt; 30 seconds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Site A network / power loss</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Manual failover to Site B</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Seconds (async lag)</w:t>
            </w:r>
          </w:p>
        </w:tc>
        <w:tc>
          <w:tcPr>
            <w:tcW w:type="dxa" w:w="1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&lt; 15 minutes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SQL-PROD-02 failure only</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No failover required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None</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Immediate (primary unaffected)</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Planned maintenance</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Manual (graceful switchover)</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None</w:t>
            </w:r>
          </w:p>
        </w:tc>
        <w:tc>
          <w:tcPr>
            <w:tcW w:type="dxa" w:w="1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&lt; 5 minutes</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3  Server Upgrade Status Tracker</w:t>
      </w:r>
    </w:p>
    <w:p>
      <w:pPr>
        <w:spacing w:after="100" w:before="60"/>
        <w:jc w:val="left"/>
      </w:pPr>
      <w:r>
        <w:rPr>
          <w:rFonts w:ascii="Arial" w:cs="Arial" w:eastAsia="Arial" w:hAnsi="Arial"/>
          <w:b w:val="false"/>
          <w:bCs w:val="false"/>
          <w:i w:val="false"/>
          <w:iCs w:val="false"/>
          <w:color w:val="000000"/>
          <w:sz w:val="20"/>
          <w:szCs w:val="20"/>
        </w:rPr>
        <w:t xml:space="preserve">The table below details every in-scope SQL Server instance, its current state, scheduled migration date, and live status. Update the Status and Notes columns after each migration event.</w:t>
      </w:r>
    </w:p>
    <w:p>
      <w:pPr>
        <w:spacing w:after="0" w:before="80"/>
      </w:pPr>
      <w:r>
        <w:t xml:space="preserve"/>
      </w:r>
    </w:p>
    <w:p>
      <w:pPr>
        <w:spacing w:after="100" w:before="60"/>
        <w:jc w:val="left"/>
      </w:pPr>
      <w:r>
        <w:rPr>
          <w:rFonts w:ascii="Arial" w:cs="Arial" w:eastAsia="Arial" w:hAnsi="Arial"/>
          <w:b/>
          <w:bCs/>
          <w:i w:val="false"/>
          <w:iCs w:val="false"/>
          <w:color w:val="000000"/>
          <w:sz w:val="20"/>
          <w:szCs w:val="20"/>
        </w:rPr>
        <w:t xml:space="preserve">Status Legend:</w:t>
      </w:r>
    </w:p>
    <w:p>
      <w:pPr>
        <w:spacing w:after="0" w:before="40"/>
      </w:pPr>
      <w:r>
        <w:t xml:space="preserve"/>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tblGrid>
      <w:tr>
        <w:tc>
          <w:tcPr>
            <w:tcW w:type="dxa" w:w="16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Completed</w:t>
            </w:r>
          </w:p>
        </w:tc>
        <w:tc>
          <w:tcPr>
            <w:tcW w:type="dxa" w:w="16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tcPr>
          <w:p>
            <w:pPr>
              <w:jc w:val="center"/>
            </w:pPr>
            <w:r>
              <w:rPr>
                <w:rFonts w:ascii="Arial" w:cs="Arial" w:eastAsia="Arial" w:hAnsi="Arial"/>
                <w:b/>
                <w:bCs/>
                <w:color w:val="7F6000"/>
                <w:sz w:val="16"/>
                <w:szCs w:val="16"/>
              </w:rPr>
              <w:t xml:space="preserve">In Progress</w:t>
            </w:r>
          </w:p>
        </w:tc>
        <w:tc>
          <w:tcPr>
            <w:tcW w:type="dxa" w:w="16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tcPr>
          <w:p>
            <w:pPr>
              <w:jc w:val="center"/>
            </w:pPr>
            <w:r>
              <w:rPr>
                <w:rFonts w:ascii="Arial" w:cs="Arial" w:eastAsia="Arial" w:hAnsi="Arial"/>
                <w:b/>
                <w:bCs/>
                <w:color w:val="843C0C"/>
                <w:sz w:val="16"/>
                <w:szCs w:val="16"/>
              </w:rPr>
              <w:t xml:space="preserve">Not Started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000"/>
        <w:gridCol w:w="1000"/>
        <w:gridCol w:w="1000"/>
        <w:gridCol w:w="1000"/>
        <w:gridCol w:w="1260"/>
        <w:gridCol w:w="1100"/>
        <w:gridCol w:w="1500"/>
      </w:tblGrid>
      <w:tr>
        <w:trPr>
          <w:tblHeader/>
        </w:trPr>
        <w:tc>
          <w:tcPr>
            <w:tcW w:type="dxa" w:w="12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Server Name</w:t>
            </w:r>
          </w:p>
        </w:tc>
        <w:tc>
          <w:tcPr>
            <w:tcW w:type="dxa" w:w="13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Role / Function</w:t>
            </w:r>
          </w:p>
        </w:tc>
        <w:tc>
          <w:tcPr>
            <w:tcW w:type="dxa" w:w="10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Source SQL</w:t>
            </w:r>
          </w:p>
        </w:tc>
        <w:tc>
          <w:tcPr>
            <w:tcW w:type="dxa" w:w="10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Target SQL</w:t>
            </w:r>
          </w:p>
        </w:tc>
        <w:tc>
          <w:tcPr>
            <w:tcW w:type="dxa" w:w="10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Source OS</w:t>
            </w:r>
          </w:p>
        </w:tc>
        <w:tc>
          <w:tcPr>
            <w:tcW w:type="dxa" w:w="10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Target OS</w:t>
            </w:r>
          </w:p>
        </w:tc>
        <w:tc>
          <w:tcPr>
            <w:tcW w:type="dxa" w:w="12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Migration Date</w:t>
            </w:r>
          </w:p>
        </w:tc>
        <w:tc>
          <w:tcPr>
            <w:tcW w:type="dxa" w:w="11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Status</w:t>
            </w:r>
          </w:p>
        </w:tc>
        <w:tc>
          <w:tcPr>
            <w:tcW w:type="dxa" w:w="15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Notes / Actions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SQL-PROD-01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Primary Production DB</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2016</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2022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2012 R2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2025</w:t>
            </w:r>
          </w:p>
        </w:tc>
        <w:tc>
          <w:tcPr>
            <w:tcW w:type="dxa" w:w="1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TBC</w:t>
            </w:r>
          </w:p>
        </w:tc>
        <w:tc>
          <w:tcPr>
            <w:tcW w:type="dxa" w:w="11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Highest priority — schedule maintenance window</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SQL-PROD-02</w:t>
            </w:r>
          </w:p>
        </w:tc>
        <w:tc>
          <w:tcPr>
            <w:tcW w:type="dxa" w:w="1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Production Read Replica</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2016</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2022</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2016</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2025</w:t>
            </w:r>
          </w:p>
        </w:tc>
        <w:tc>
          <w:tcPr>
            <w:tcW w:type="dxa" w:w="1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TBC</w:t>
            </w:r>
          </w:p>
        </w:tc>
        <w:tc>
          <w:tcPr>
            <w:tcW w:type="dxa" w:w="11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Upgrade after SQL-PROD-01 confirmed stable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SQL-DR-01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Disaster Recovery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2016</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2022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2016</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2025</w:t>
            </w:r>
          </w:p>
        </w:tc>
        <w:tc>
          <w:tcPr>
            <w:tcW w:type="dxa" w:w="1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05/07/2026</w:t>
            </w:r>
          </w:p>
        </w:tc>
        <w:tc>
          <w:tcPr>
            <w:tcW w:type="dxa" w:w="11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In Progress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VM provisioned; data migration in progress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SQL-UAT-01</w:t>
            </w:r>
          </w:p>
        </w:tc>
        <w:tc>
          <w:tcPr>
            <w:tcW w:type="dxa" w:w="1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UAT / Pre-Prod Testing</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2016</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2022</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2019</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2025</w:t>
            </w:r>
          </w:p>
        </w:tc>
        <w:tc>
          <w:tcPr>
            <w:tcW w:type="dxa" w:w="1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28/06/2026</w:t>
            </w:r>
          </w:p>
        </w:tc>
        <w:tc>
          <w:tcPr>
            <w:tcW w:type="dxa" w:w="11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18"/>
                <w:szCs w:val="18"/>
              </w:rPr>
              <w:t xml:space="preserve">Completed</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Validated by QA team 25/06/2026</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SQL-DEV-01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Development Environment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2016</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2022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2019</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2025</w:t>
            </w:r>
          </w:p>
        </w:tc>
        <w:tc>
          <w:tcPr>
            <w:tcW w:type="dxa" w:w="1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20/06/2026</w:t>
            </w:r>
          </w:p>
        </w:tc>
        <w:tc>
          <w:tcPr>
            <w:tcW w:type="dxa" w:w="11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18"/>
                <w:szCs w:val="18"/>
              </w:rPr>
              <w:t xml:space="preserve">Completed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Completed ahead of schedule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SQL-REP-01</w:t>
            </w:r>
          </w:p>
        </w:tc>
        <w:tc>
          <w:tcPr>
            <w:tcW w:type="dxa" w:w="1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Reporting / SSRS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2016</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2022</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2016</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2025</w:t>
            </w:r>
          </w:p>
        </w:tc>
        <w:tc>
          <w:tcPr>
            <w:tcW w:type="dxa" w:w="1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TBC</w:t>
            </w:r>
          </w:p>
        </w:tc>
        <w:tc>
          <w:tcPr>
            <w:tcW w:type="dxa" w:w="11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Coordinate with BI team for SSRS compatibility check</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SQL-INT-01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Integration / SSIS Server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2016</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2022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2016</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2025</w:t>
            </w:r>
          </w:p>
        </w:tc>
        <w:tc>
          <w:tcPr>
            <w:tcW w:type="dxa" w:w="1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12/07/2026</w:t>
            </w:r>
          </w:p>
        </w:tc>
        <w:tc>
          <w:tcPr>
            <w:tcW w:type="dxa" w:w="11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In Progress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SSIS package compatibility review ongoing</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SQL-AUDIT-01</w:t>
            </w:r>
          </w:p>
        </w:tc>
        <w:tc>
          <w:tcPr>
            <w:tcW w:type="dxa" w:w="1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Audit &amp; Compliance Logging</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2016</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2022</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2012 R2</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Win 2025</w:t>
            </w:r>
          </w:p>
        </w:tc>
        <w:tc>
          <w:tcPr>
            <w:tcW w:type="dxa" w:w="1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TBC</w:t>
            </w:r>
          </w:p>
        </w:tc>
        <w:tc>
          <w:tcPr>
            <w:tcW w:type="dxa" w:w="11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Compliance sign-off required before migration</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4  Pre-Migration Checklist</w:t>
      </w:r>
    </w:p>
    <w:p>
      <w:pPr>
        <w:spacing w:after="100" w:before="60"/>
        <w:jc w:val="left"/>
      </w:pPr>
      <w:r>
        <w:rPr>
          <w:rFonts w:ascii="Arial" w:cs="Arial" w:eastAsia="Arial" w:hAnsi="Arial"/>
          <w:b w:val="false"/>
          <w:bCs w:val="false"/>
          <w:i w:val="false"/>
          <w:iCs w:val="false"/>
          <w:color w:val="000000"/>
          <w:sz w:val="20"/>
          <w:szCs w:val="20"/>
        </w:rPr>
        <w:t xml:space="preserve">Each item below must be completed before any production server migration proceeds.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820"/>
        <w:gridCol w:w="1500"/>
        <w:gridCol w:w="1000"/>
        <w:gridCol w:w="1500"/>
      </w:tblGrid>
      <w:tr>
        <w:trPr>
          <w:tblHeader/>
        </w:trPr>
        <w:tc>
          <w:tcPr>
            <w:tcW w:type="dxa" w:w="54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t>
            </w:r>
          </w:p>
        </w:tc>
        <w:tc>
          <w:tcPr>
            <w:tcW w:type="dxa" w:w="482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Checklist Item</w:t>
            </w:r>
          </w:p>
        </w:tc>
        <w:tc>
          <w:tcPr>
            <w:tcW w:type="dxa" w:w="15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Owner</w:t>
            </w:r>
          </w:p>
        </w:tc>
        <w:tc>
          <w:tcPr>
            <w:tcW w:type="dxa" w:w="10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Due Date</w:t>
            </w:r>
          </w:p>
        </w:tc>
        <w:tc>
          <w:tcPr>
            <w:tcW w:type="dxa" w:w="15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Status</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1</w:t>
            </w:r>
          </w:p>
        </w:tc>
        <w:tc>
          <w:tcPr>
            <w:tcW w:type="dxa" w:w="48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Inventory all SQL Server 2016 instances and document dependencies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DBA Team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27/06/2026</w:t>
            </w:r>
          </w:p>
        </w:tc>
        <w:tc>
          <w:tcPr>
            <w:tcW w:type="dxa" w:w="15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18"/>
                <w:szCs w:val="18"/>
              </w:rPr>
              <w:t xml:space="preserve">Completed</w:t>
            </w:r>
          </w:p>
        </w:tc>
      </w:tr>
      <w:tr>
        <w:tc>
          <w:tcPr>
            <w:tcW w:type="dxa" w:w="5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2</w:t>
            </w:r>
          </w:p>
        </w:tc>
        <w:tc>
          <w:tcPr>
            <w:tcW w:type="dxa" w:w="48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Provision new Windows Server 2025 virtual machines</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Infra Team</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01/07/2026</w:t>
            </w:r>
          </w:p>
        </w:tc>
        <w:tc>
          <w:tcPr>
            <w:tcW w:type="dxa" w:w="15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In Progress</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3</w:t>
            </w:r>
          </w:p>
        </w:tc>
        <w:tc>
          <w:tcPr>
            <w:tcW w:type="dxa" w:w="48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Install and configure SQL Server 2022 on target VMs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DBA Team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05/07/2026</w:t>
            </w:r>
          </w:p>
        </w:tc>
        <w:tc>
          <w:tcPr>
            <w:tcW w:type="dxa" w:w="15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In Progress</w:t>
            </w:r>
          </w:p>
        </w:tc>
      </w:tr>
      <w:tr>
        <w:tc>
          <w:tcPr>
            <w:tcW w:type="dxa" w:w="5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4</w:t>
            </w:r>
          </w:p>
        </w:tc>
        <w:tc>
          <w:tcPr>
            <w:tcW w:type="dxa" w:w="48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Run SQL Server Upgrade Advisor / Database Experimentation Assistant (DEA)</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DBA Team</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30/06/2026</w:t>
            </w:r>
          </w:p>
        </w:tc>
        <w:tc>
          <w:tcPr>
            <w:tcW w:type="dxa" w:w="1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5</w:t>
            </w:r>
          </w:p>
        </w:tc>
        <w:tc>
          <w:tcPr>
            <w:tcW w:type="dxa" w:w="48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Take full verified backups of all source databases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DBA Team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Per server</w:t>
            </w:r>
          </w:p>
        </w:tc>
        <w:tc>
          <w:tcPr>
            <w:tcW w:type="dxa" w:w="1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r>
        <w:tc>
          <w:tcPr>
            <w:tcW w:type="dxa" w:w="5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6</w:t>
            </w:r>
          </w:p>
        </w:tc>
        <w:tc>
          <w:tcPr>
            <w:tcW w:type="dxa" w:w="48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Migrate databases and validate data integrity post-migration</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DBA Team</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Per server</w:t>
            </w:r>
          </w:p>
        </w:tc>
        <w:tc>
          <w:tcPr>
            <w:tcW w:type="dxa" w:w="1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7</w:t>
            </w:r>
          </w:p>
        </w:tc>
        <w:tc>
          <w:tcPr>
            <w:tcW w:type="dxa" w:w="48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Update connection strings and application configuration files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App Team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Per server</w:t>
            </w:r>
          </w:p>
        </w:tc>
        <w:tc>
          <w:tcPr>
            <w:tcW w:type="dxa" w:w="1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r>
        <w:tc>
          <w:tcPr>
            <w:tcW w:type="dxa" w:w="5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8</w:t>
            </w:r>
          </w:p>
        </w:tc>
        <w:tc>
          <w:tcPr>
            <w:tcW w:type="dxa" w:w="48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Perform performance baseline testing on SQL 2022 instances</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DBA Team</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Per server</w:t>
            </w:r>
          </w:p>
        </w:tc>
        <w:tc>
          <w:tcPr>
            <w:tcW w:type="dxa" w:w="1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9</w:t>
            </w:r>
          </w:p>
        </w:tc>
        <w:tc>
          <w:tcPr>
            <w:tcW w:type="dxa" w:w="48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Conduct application UAT smoke testing post-migration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QA Team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Per server</w:t>
            </w:r>
          </w:p>
        </w:tc>
        <w:tc>
          <w:tcPr>
            <w:tcW w:type="dxa" w:w="1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r>
        <w:tc>
          <w:tcPr>
            <w:tcW w:type="dxa" w:w="5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10</w:t>
            </w:r>
          </w:p>
        </w:tc>
        <w:tc>
          <w:tcPr>
            <w:tcW w:type="dxa" w:w="48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Decommission old SQL 2016 instances after 30-day stabilisation period</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Infra Team</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TBC</w:t>
            </w:r>
          </w:p>
        </w:tc>
        <w:tc>
          <w:tcPr>
            <w:tcW w:type="dxa" w:w="1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5  Risk Register</w:t>
      </w:r>
    </w:p>
    <w:p>
      <w:pPr>
        <w:spacing w:after="100" w:before="60"/>
        <w:jc w:val="left"/>
      </w:pPr>
      <w:r>
        <w:rPr>
          <w:rFonts w:ascii="Arial" w:cs="Arial" w:eastAsia="Arial" w:hAnsi="Arial"/>
          <w:b w:val="false"/>
          <w:bCs w:val="false"/>
          <w:i w:val="false"/>
          <w:iCs w:val="false"/>
          <w:color w:val="000000"/>
          <w:sz w:val="20"/>
          <w:szCs w:val="20"/>
        </w:rPr>
        <w:t xml:space="preserve">The following risks have been identified for this upgrade programme. All mitigations should be actioned and confirmed before production migrations commence.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3460"/>
      </w:tblGrid>
      <w:tr>
        <w:trPr>
          <w:tblHeader/>
        </w:trPr>
        <w:tc>
          <w:tcPr>
            <w:tcW w:type="dxa" w:w="35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Risk Description</w:t>
            </w:r>
          </w:p>
        </w:tc>
        <w:tc>
          <w:tcPr>
            <w:tcW w:type="dxa" w:w="12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Likelihood</w:t>
            </w:r>
          </w:p>
        </w:tc>
        <w:tc>
          <w:tcPr>
            <w:tcW w:type="dxa" w:w="12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Impact</w:t>
            </w:r>
          </w:p>
        </w:tc>
        <w:tc>
          <w:tcPr>
            <w:tcW w:type="dxa" w:w="34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Mitigation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Application compatibility issues with SQL Server 2022</w:t>
            </w:r>
          </w:p>
        </w:tc>
        <w:tc>
          <w:tcPr>
            <w:tcW w:type="dxa" w:w="12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Medium</w:t>
            </w:r>
          </w:p>
        </w:tc>
        <w:tc>
          <w:tcPr>
            <w:tcW w:type="dxa" w:w="12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High</w:t>
            </w:r>
          </w:p>
        </w:tc>
        <w:tc>
          <w:tcPr>
            <w:tcW w:type="dxa" w:w="3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Run DEA tool pre-migration; test all stored procedures in UAT</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Extended downtime during production migration</w:t>
            </w:r>
          </w:p>
        </w:tc>
        <w:tc>
          <w:tcPr>
            <w:tcW w:type="dxa" w:w="12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Medium</w:t>
            </w:r>
          </w:p>
        </w:tc>
        <w:tc>
          <w:tcPr>
            <w:tcW w:type="dxa" w:w="12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High</w:t>
            </w:r>
          </w:p>
        </w:tc>
        <w:tc>
          <w:tcPr>
            <w:tcW w:type="dxa" w:w="34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Use log shipping / mirroring to minimise cutover window to &lt;1 hour</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SSIS / SSRS package incompatibility</w:t>
            </w:r>
          </w:p>
        </w:tc>
        <w:tc>
          <w:tcPr>
            <w:tcW w:type="dxa" w:w="12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High</w:t>
            </w:r>
          </w:p>
        </w:tc>
        <w:tc>
          <w:tcPr>
            <w:tcW w:type="dxa" w:w="12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Medium</w:t>
            </w:r>
          </w:p>
        </w:tc>
        <w:tc>
          <w:tcPr>
            <w:tcW w:type="dxa" w:w="3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Review and update packages in DEV/UAT environments before production</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Data loss during migration</w:t>
            </w:r>
          </w:p>
        </w:tc>
        <w:tc>
          <w:tcPr>
            <w:tcW w:type="dxa" w:w="1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18"/>
                <w:szCs w:val="18"/>
              </w:rPr>
              <w:t xml:space="preserve">Low</w:t>
            </w:r>
          </w:p>
        </w:tc>
        <w:tc>
          <w:tcPr>
            <w:tcW w:type="dxa" w:w="12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High</w:t>
            </w:r>
          </w:p>
        </w:tc>
        <w:tc>
          <w:tcPr>
            <w:tcW w:type="dxa" w:w="34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Full verified backups before each migration; post-migration checksum validation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Performance regression on SQL 2022 (cardinality estimator)</w:t>
            </w:r>
          </w:p>
        </w:tc>
        <w:tc>
          <w:tcPr>
            <w:tcW w:type="dxa" w:w="12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Medium</w:t>
            </w:r>
          </w:p>
        </w:tc>
        <w:tc>
          <w:tcPr>
            <w:tcW w:type="dxa" w:w="12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Medium</w:t>
            </w:r>
          </w:p>
        </w:tc>
        <w:tc>
          <w:tcPr>
            <w:tcW w:type="dxa" w:w="3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Set compatibility level to 130 initially; baseline then incrementally raise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Resource contention on new VMs</w:t>
            </w:r>
          </w:p>
        </w:tc>
        <w:tc>
          <w:tcPr>
            <w:tcW w:type="dxa" w:w="1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18"/>
                <w:szCs w:val="18"/>
              </w:rPr>
              <w:t xml:space="preserve">Low</w:t>
            </w:r>
          </w:p>
        </w:tc>
        <w:tc>
          <w:tcPr>
            <w:tcW w:type="dxa" w:w="12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Medium</w:t>
            </w:r>
          </w:p>
        </w:tc>
        <w:tc>
          <w:tcPr>
            <w:tcW w:type="dxa" w:w="34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Size VMs to exceed current resource utilisation by 30%; monitor post-go-live</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6  Skype for Business Decommission</w:t>
      </w:r>
    </w:p>
    <w:p>
      <w:pPr>
        <w:spacing w:after="100" w:before="60"/>
        <w:jc w:val="left"/>
      </w:pPr>
      <w:r>
        <w:rPr>
          <w:rFonts w:ascii="Arial" w:cs="Arial" w:eastAsia="Arial" w:hAnsi="Arial"/>
          <w:b w:val="false"/>
          <w:bCs w:val="false"/>
          <w:i w:val="false"/>
          <w:iCs w:val="false"/>
          <w:color w:val="000000"/>
          <w:sz w:val="20"/>
          <w:szCs w:val="20"/>
        </w:rPr>
        <w:t xml:space="preserve">Concurrent with the SQL Server upgrade programme, the on-premises Skype for Business (SfB) Server deployment is scheduled for decommission. Microsoft ended mainstream support for Skype for Business Server 2019 in October 2024, and all Unified Communications workloads are being migrated to Microsoft Teams as the strategic collaboration platform.</w:t>
      </w:r>
    </w:p>
    <w:p>
      <w:pPr>
        <w:spacing w:after="0" w:before="80"/>
      </w:pPr>
      <w:r>
        <w:t xml:space="preserve"/>
      </w:r>
    </w:p>
    <w:p>
      <w:pPr>
        <w:pStyle w:val="Heading2"/>
        <w:spacing w:after="80" w:before="240"/>
      </w:pPr>
      <w:r>
        <w:rPr>
          <w:rFonts w:ascii="Arial" w:cs="Arial" w:eastAsia="Arial" w:hAnsi="Arial"/>
          <w:b/>
          <w:bCs/>
          <w:color w:val="2E75B6"/>
          <w:sz w:val="22"/>
          <w:szCs w:val="22"/>
        </w:rPr>
        <w:t xml:space="preserve">6.1  Decommission Scope &amp; Objectives</w:t>
      </w:r>
    </w:p>
    <w:p>
      <w:pPr>
        <w:pStyle w:val="ListParagraph"/>
        <w:numPr>
          <w:ilvl w:val="0"/>
          <w:numId w:val="2"/>
        </w:numPr>
        <w:spacing w:after="40" w:before="40"/>
      </w:pPr>
      <w:r>
        <w:rPr>
          <w:rFonts w:ascii="Arial" w:cs="Arial" w:eastAsia="Arial" w:hAnsi="Arial"/>
          <w:b w:val="false"/>
          <w:bCs w:val="false"/>
          <w:color w:val="000000"/>
          <w:sz w:val="20"/>
          <w:szCs w:val="20"/>
        </w:rPr>
        <w:t xml:space="preserve">Migrate all IM, presence, voice, and conferencing workloads from SfB Server to Microsoft Teams.</w:t>
      </w:r>
    </w:p>
    <w:p>
      <w:pPr>
        <w:pStyle w:val="ListParagraph"/>
        <w:numPr>
          <w:ilvl w:val="0"/>
          <w:numId w:val="2"/>
        </w:numPr>
        <w:spacing w:after="40" w:before="40"/>
      </w:pPr>
      <w:r>
        <w:rPr>
          <w:rFonts w:ascii="Arial" w:cs="Arial" w:eastAsia="Arial" w:hAnsi="Arial"/>
          <w:b w:val="false"/>
          <w:bCs w:val="false"/>
          <w:color w:val="000000"/>
          <w:sz w:val="20"/>
          <w:szCs w:val="20"/>
        </w:rPr>
        <w:t xml:space="preserve">Remove all on-premises SfB Server roles including Front End, Edge, Mediation, and Monitoring servers.</w:t>
      </w:r>
    </w:p>
    <w:p>
      <w:pPr>
        <w:pStyle w:val="ListParagraph"/>
        <w:numPr>
          <w:ilvl w:val="0"/>
          <w:numId w:val="2"/>
        </w:numPr>
        <w:spacing w:after="40" w:before="40"/>
      </w:pPr>
      <w:r>
        <w:rPr>
          <w:rFonts w:ascii="Arial" w:cs="Arial" w:eastAsia="Arial" w:hAnsi="Arial"/>
          <w:b w:val="false"/>
          <w:bCs w:val="false"/>
          <w:color w:val="000000"/>
          <w:sz w:val="20"/>
          <w:szCs w:val="20"/>
        </w:rPr>
        <w:t xml:space="preserve">Archive and then remove SfB SQL backend databases (RTC, RTCAB, LCSLog) — this also frees SQL Server capacity, complementing the broader SQL upgrade.</w:t>
      </w:r>
    </w:p>
    <w:p>
      <w:pPr>
        <w:pStyle w:val="ListParagraph"/>
        <w:numPr>
          <w:ilvl w:val="0"/>
          <w:numId w:val="2"/>
        </w:numPr>
        <w:spacing w:after="40" w:before="40"/>
      </w:pPr>
      <w:r>
        <w:rPr>
          <w:rFonts w:ascii="Arial" w:cs="Arial" w:eastAsia="Arial" w:hAnsi="Arial"/>
          <w:b w:val="false"/>
          <w:bCs w:val="false"/>
          <w:color w:val="000000"/>
          <w:sz w:val="20"/>
          <w:szCs w:val="20"/>
        </w:rPr>
        <w:t xml:space="preserve">Remove SfB client deployments from all endpoints and decommission associated DNS records and load balancer VIPs.</w:t>
      </w:r>
    </w:p>
    <w:p>
      <w:pPr>
        <w:pStyle w:val="ListParagraph"/>
        <w:numPr>
          <w:ilvl w:val="0"/>
          <w:numId w:val="2"/>
        </w:numPr>
        <w:spacing w:after="40" w:before="40"/>
      </w:pPr>
      <w:r>
        <w:rPr>
          <w:rFonts w:ascii="Arial" w:cs="Arial" w:eastAsia="Arial" w:hAnsi="Arial"/>
          <w:b w:val="false"/>
          <w:bCs w:val="false"/>
          <w:color w:val="000000"/>
          <w:sz w:val="20"/>
          <w:szCs w:val="20"/>
        </w:rPr>
        <w:t xml:space="preserve">Retain Call Detail Record (CDR) and Quality of Experience (QoE) data for a minimum of 7 years per compliance requirements before disposal.</w:t>
      </w:r>
    </w:p>
    <w:p>
      <w:pPr>
        <w:spacing w:after="0" w:before="80"/>
      </w:pPr>
      <w:r>
        <w:t xml:space="preserve"/>
      </w:r>
    </w:p>
    <w:p>
      <w:pPr>
        <w:pStyle w:val="Heading2"/>
        <w:spacing w:after="80" w:before="240"/>
      </w:pPr>
      <w:r>
        <w:rPr>
          <w:rFonts w:ascii="Arial" w:cs="Arial" w:eastAsia="Arial" w:hAnsi="Arial"/>
          <w:b/>
          <w:bCs/>
          <w:color w:val="2E75B6"/>
          <w:sz w:val="22"/>
          <w:szCs w:val="22"/>
        </w:rPr>
        <w:t xml:space="preserve">6.2  Decommission Task Tracker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1260"/>
        <w:gridCol w:w="1100"/>
        <w:gridCol w:w="1500"/>
      </w:tblGrid>
      <w:tr>
        <w:trPr>
          <w:tblHeader/>
        </w:trPr>
        <w:tc>
          <w:tcPr>
            <w:tcW w:type="dxa" w:w="22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Component</w:t>
            </w:r>
          </w:p>
        </w:tc>
        <w:tc>
          <w:tcPr>
            <w:tcW w:type="dxa" w:w="18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Description</w:t>
            </w:r>
          </w:p>
        </w:tc>
        <w:tc>
          <w:tcPr>
            <w:tcW w:type="dxa" w:w="15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Owner</w:t>
            </w:r>
          </w:p>
        </w:tc>
        <w:tc>
          <w:tcPr>
            <w:tcW w:type="dxa" w:w="12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Target Date</w:t>
            </w:r>
          </w:p>
        </w:tc>
        <w:tc>
          <w:tcPr>
            <w:tcW w:type="dxa" w:w="11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Status</w:t>
            </w:r>
          </w:p>
        </w:tc>
        <w:tc>
          <w:tcPr>
            <w:tcW w:type="dxa" w:w="15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Skype for Business Server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Front End Pool — primary IM/voice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Infra Team</w:t>
            </w:r>
          </w:p>
        </w:tc>
        <w:tc>
          <w:tcPr>
            <w:tcW w:type="dxa" w:w="1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31/08/2026</w:t>
            </w:r>
          </w:p>
        </w:tc>
        <w:tc>
          <w:tcPr>
            <w:tcW w:type="dxa" w:w="11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Co-existence mode required during transition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SfB Edge Server</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External access / federation</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Infra Team</w:t>
            </w:r>
          </w:p>
        </w:tc>
        <w:tc>
          <w:tcPr>
            <w:tcW w:type="dxa" w:w="1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31/08/2026</w:t>
            </w:r>
          </w:p>
        </w:tc>
        <w:tc>
          <w:tcPr>
            <w:tcW w:type="dxa" w:w="11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Decommission after external clients migrated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SfB SQL Backend DBs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RTC, RTCAB, LCSLog databases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DBA Team</w:t>
            </w:r>
          </w:p>
        </w:tc>
        <w:tc>
          <w:tcPr>
            <w:tcW w:type="dxa" w:w="1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31/08/2026</w:t>
            </w:r>
          </w:p>
        </w:tc>
        <w:tc>
          <w:tcPr>
            <w:tcW w:type="dxa" w:w="11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Backup and archive before SQL instance removal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SfB Mediation Server</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PSTN gateway integration</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Telco Team</w:t>
            </w:r>
          </w:p>
        </w:tc>
        <w:tc>
          <w:tcPr>
            <w:tcW w:type="dxa" w:w="1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15/08/2026</w:t>
            </w:r>
          </w:p>
        </w:tc>
        <w:tc>
          <w:tcPr>
            <w:tcW w:type="dxa" w:w="11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Coordinate with telco provider for DDI porting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SfB Monitoring / Archiving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CDR, QoE reporting databases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DBA Team</w:t>
            </w:r>
          </w:p>
        </w:tc>
        <w:tc>
          <w:tcPr>
            <w:tcW w:type="dxa" w:w="1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31/08/2026</w:t>
            </w:r>
          </w:p>
        </w:tc>
        <w:tc>
          <w:tcPr>
            <w:tcW w:type="dxa" w:w="11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Retain archive data per compliance policy (7 yrs)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SfB Client Deployments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Desktop client uninstall / GPO removal</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Desktop Team</w:t>
            </w:r>
          </w:p>
        </w:tc>
        <w:tc>
          <w:tcPr>
            <w:tcW w:type="dxa" w:w="1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20/08/2026</w:t>
            </w:r>
          </w:p>
        </w:tc>
        <w:tc>
          <w:tcPr>
            <w:tcW w:type="dxa" w:w="11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Push Teams client via Intune before SfB removal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DNS / Load Balancer Records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SIP, meet, dialin, webconf records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Infra Team</w:t>
            </w:r>
          </w:p>
        </w:tc>
        <w:tc>
          <w:tcPr>
            <w:tcW w:type="dxa" w:w="1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01/09/2026</w:t>
            </w:r>
          </w:p>
        </w:tc>
        <w:tc>
          <w:tcPr>
            <w:tcW w:type="dxa" w:w="11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Remove SfB records; validate Teams DNS post-cut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Replacement Platform</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Microsoft Teams (cloud)</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M365 Team</w:t>
            </w:r>
          </w:p>
        </w:tc>
        <w:tc>
          <w:tcPr>
            <w:tcW w:type="dxa" w:w="1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01/07/2026</w:t>
            </w:r>
          </w:p>
        </w:tc>
        <w:tc>
          <w:tcPr>
            <w:tcW w:type="dxa" w:w="11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8"/>
                <w:szCs w:val="18"/>
              </w:rPr>
              <w:t xml:space="preserve">In Progress</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Teams telephony direct routing being configured</w:t>
            </w:r>
          </w:p>
        </w:tc>
      </w:tr>
    </w:tbl>
    <w:p>
      <w:pPr>
        <w:spacing w:after="0" w:before="80"/>
      </w:pPr>
      <w:r>
        <w:t xml:space="preserve"/>
      </w:r>
    </w:p>
    <w:p>
      <w:pPr>
        <w:pStyle w:val="Heading2"/>
        <w:spacing w:after="80" w:before="240"/>
      </w:pPr>
      <w:r>
        <w:rPr>
          <w:rFonts w:ascii="Arial" w:cs="Arial" w:eastAsia="Arial" w:hAnsi="Arial"/>
          <w:b/>
          <w:bCs/>
          <w:color w:val="2E75B6"/>
          <w:sz w:val="22"/>
          <w:szCs w:val="22"/>
        </w:rPr>
        <w:t xml:space="preserve">6.3  Dependencies &amp;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Dependency</w:t>
            </w:r>
          </w:p>
        </w:tc>
        <w:tc>
          <w:tcPr>
            <w:tcW w:type="dxa" w:w="61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Detail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Teams Direct Routing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Telephony must be fully configured and tested on Teams before SfB Mediation Server is removed. Coordinate DDI porting with telco provider.</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 Server Upgrade</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SfB SQL databases (RTC, RTCAB) should be migrated/removed after the SQL Server 2016 instance hosting them is included in the upgrade plan.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Compliance Archive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chat and meeting content must be exported to a compliant archive store (e.g. Microsoft Purview) before SfB Archiving database removal.</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User Communication</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End users must be notified at least 30 days in advance. Training on Teams calling features required for voice users.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Third-party Integrations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Identify any applications or systems integrating with SfB via UCMA or SIP federation. Each must be re-pointed to Teams before cutover.</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7  DBA — Commonly Overlooked Items</w:t>
      </w:r>
    </w:p>
    <w:p>
      <w:pPr>
        <w:spacing w:after="100" w:before="60"/>
        <w:jc w:val="left"/>
      </w:pPr>
      <w:r>
        <w:rPr>
          <w:rFonts w:ascii="Arial" w:cs="Arial" w:eastAsia="Arial" w:hAnsi="Arial"/>
          <w:b w:val="false"/>
          <w:bCs w:val="false"/>
          <w:i w:val="false"/>
          <w:iCs w:val="false"/>
          <w:color w:val="000000"/>
          <w:sz w:val="20"/>
          <w:szCs w:val="20"/>
        </w:rPr>
        <w:t xml:space="preserve">The items below represent areas most frequently missed during SQL Server upgrade projects. Each has the potential to cause production incidents post-migration if not addressed proactively. Work through this section alongside the Pre-Migration Checklist.</w:t>
      </w:r>
    </w:p>
    <w:p>
      <w:pPr>
        <w:spacing w:after="0" w:before="80"/>
      </w:pPr>
      <w:r>
        <w:t xml:space="preserve"/>
      </w:r>
    </w:p>
    <w:p>
      <w:pPr>
        <w:pStyle w:val="Heading2"/>
        <w:spacing w:after="80" w:before="240"/>
      </w:pPr>
      <w:r>
        <w:rPr>
          <w:rFonts w:ascii="Arial" w:cs="Arial" w:eastAsia="Arial" w:hAnsi="Arial"/>
          <w:b/>
          <w:bCs/>
          <w:color w:val="2E75B6"/>
          <w:sz w:val="22"/>
          <w:szCs w:val="22"/>
        </w:rPr>
        <w:t xml:space="preserve">7.1  Database Compatibility Level</w:t>
      </w:r>
    </w:p>
    <w:p>
      <w:pPr>
        <w:spacing w:after="100" w:before="60"/>
        <w:jc w:val="left"/>
      </w:pPr>
      <w:r>
        <w:rPr>
          <w:rFonts w:ascii="Arial" w:cs="Arial" w:eastAsia="Arial" w:hAnsi="Arial"/>
          <w:b w:val="false"/>
          <w:bCs w:val="false"/>
          <w:i w:val="false"/>
          <w:iCs w:val="false"/>
          <w:color w:val="000000"/>
          <w:sz w:val="20"/>
          <w:szCs w:val="20"/>
        </w:rPr>
        <w:t xml:space="preserve">This is the single most important item that DBAs overlook. Migrating a database to SQL Server 2022 does NOT automatically change its compatibility level — databases restored from SQL 2016 will default to compatibility level 130 and remain there until deliberately changed. This is intentional protection against query plan regressions, but it means SQL 2022 features (Intelligent Query Processing, batch mode on rowstore, etc.) are unavailable until the level is raised.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Compatibility Level</w:t>
            </w:r>
          </w:p>
        </w:tc>
        <w:tc>
          <w:tcPr>
            <w:tcW w:type="dxa" w:w="18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SQL Version Equivalent</w:t>
            </w:r>
          </w:p>
        </w:tc>
        <w:tc>
          <w:tcPr>
            <w:tcW w:type="dxa" w:w="53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Key Features Unlocked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130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Server 2016</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Baseline — no new features; safe starting point post-migration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140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Server 2017</w:t>
            </w:r>
          </w:p>
        </w:tc>
        <w:tc>
          <w:tcPr>
            <w:tcW w:type="dxa" w:w="5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Adaptive query processing, interleaved execution for MSTVFs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150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Server 2019</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Batch mode on rowstore, table variable deferred compilation, scalar UDF inlining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160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SQL Server 2022</w:t>
            </w:r>
          </w:p>
        </w:tc>
        <w:tc>
          <w:tcPr>
            <w:tcW w:type="dxa" w:w="5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Parameter Sensitive Plan optimisation, Cardinality Estimator CE80 feedback, DOP feedback</w:t>
            </w:r>
          </w:p>
        </w:tc>
      </w:tr>
    </w:tbl>
    <w:p>
      <w:pPr>
        <w:spacing w:after="0" w:before="80"/>
      </w:pPr>
      <w:r>
        <w:t xml:space="preserve"/>
      </w:r>
    </w:p>
    <w:p>
      <w:pPr>
        <w:spacing w:after="100" w:before="60"/>
        <w:jc w:val="left"/>
      </w:pPr>
      <w:r>
        <w:rPr>
          <w:rFonts w:ascii="Arial" w:cs="Arial" w:eastAsia="Arial" w:hAnsi="Arial"/>
          <w:b w:val="false"/>
          <w:bCs w:val="false"/>
          <w:i/>
          <w:iCs/>
          <w:color w:val="595959"/>
          <w:sz w:val="20"/>
          <w:szCs w:val="20"/>
        </w:rPr>
        <w:t xml:space="preserve">Recommended approach: migrate at level 130, run Query Store to capture a baseline, use the Database Experimentation Assistant (DEA) to compare query plans, then increment one level at a time with a performance sign-off at each step. Do not jump straight to 160 in production.</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7.2  SQL Server Agent Jobs</w:t>
      </w:r>
    </w:p>
    <w:p>
      <w:pPr>
        <w:spacing w:after="100" w:before="60"/>
        <w:jc w:val="left"/>
      </w:pPr>
      <w:r>
        <w:rPr>
          <w:rFonts w:ascii="Arial" w:cs="Arial" w:eastAsia="Arial" w:hAnsi="Arial"/>
          <w:b w:val="false"/>
          <w:bCs w:val="false"/>
          <w:i w:val="false"/>
          <w:iCs w:val="false"/>
          <w:color w:val="000000"/>
          <w:sz w:val="20"/>
          <w:szCs w:val="20"/>
        </w:rPr>
        <w:t xml:space="preserve">SQL Server Agent jobs do not migrate automatically when a database is moved. This is frequently not discovered until a scheduled job silently fails at 2am post-migration. A full audit is required before cutover.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Audit Item</w:t>
            </w:r>
          </w:p>
        </w:tc>
        <w:tc>
          <w:tcPr>
            <w:tcW w:type="dxa" w:w="63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Action Required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Job definitions &amp; schedules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Script all Agent jobs from source using SSMS &gt; SQL Server Agent &gt; Jobs &gt; Script As. Re-create on target instance and validate schedule accuracy.</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Proxy accounts &amp; credentials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Jobs running under proxy accounts need the credentials re-created on the new server. Credentials referencing Windows accounts must exist in the new server's domain context.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Job step types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Identify any jobs with SSIS, PowerShell, or CmdExec steps — these reference file paths or packages that may need updating for the new server.</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Notifications &amp; operators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Re-create operator email addresses and Database Mail profiles. Validate mail delivery after migration.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Maintenance plan jobs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Rebuild/Reorganise Index and Update Statistics jobs should be reconfigured using Ola Hallengren's solution rather than legacy maintenance plans for SQL 2022.</w:t>
            </w:r>
          </w:p>
        </w:tc>
      </w:tr>
    </w:tbl>
    <w:p>
      <w:pPr>
        <w:spacing w:after="0" w:before="120"/>
      </w:pPr>
      <w:r>
        <w:t xml:space="preserve"/>
      </w:r>
    </w:p>
    <w:p>
      <w:pPr>
        <w:pStyle w:val="Heading2"/>
        <w:spacing w:after="80" w:before="240"/>
      </w:pPr>
      <w:r>
        <w:rPr>
          <w:rFonts w:ascii="Arial" w:cs="Arial" w:eastAsia="Arial" w:hAnsi="Arial"/>
          <w:b/>
          <w:bCs/>
          <w:color w:val="2E75B6"/>
          <w:sz w:val="22"/>
          <w:szCs w:val="22"/>
        </w:rPr>
        <w:t xml:space="preserve">7.3  Linked Servers</w:t>
      </w:r>
    </w:p>
    <w:p>
      <w:pPr>
        <w:spacing w:after="100" w:before="60"/>
        <w:jc w:val="left"/>
      </w:pPr>
      <w:r>
        <w:rPr>
          <w:rFonts w:ascii="Arial" w:cs="Arial" w:eastAsia="Arial" w:hAnsi="Arial"/>
          <w:b w:val="false"/>
          <w:bCs w:val="false"/>
          <w:i w:val="false"/>
          <w:iCs w:val="false"/>
          <w:color w:val="000000"/>
          <w:sz w:val="20"/>
          <w:szCs w:val="20"/>
        </w:rPr>
        <w:t xml:space="preserve">Linked server definitions are held at the instance level and do not transfer with database migrations. Any stored procedure or application that calls a linked server will fail silently or throw an error post-migration if linked servers are not recreated. Audit with:</w:t>
      </w:r>
    </w:p>
    <w:p>
      <w:pPr>
        <w:spacing w:after="0" w:before="40"/>
      </w:pPr>
      <w:r>
        <w:t xml:space="preserve"/>
      </w:r>
    </w:p>
    <w:p>
      <w:pPr>
        <w:spacing w:after="60" w:before="60"/>
      </w:pPr>
      <w:r>
        <w:rPr>
          <w:rFonts w:ascii="Courier New" w:cs="Courier New" w:eastAsia="Courier New" w:hAnsi="Courier New"/>
          <w:color w:val="1F3864"/>
          <w:sz w:val="18"/>
          <w:szCs w:val="18"/>
        </w:rPr>
        <w:t xml:space="preserve">SELECT name, product, provider, data_source FROM sys.servers WHERE is_linked = 1</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Re-create all linked server definitions on the new instance, including the login mappings and security context.</w:t>
      </w:r>
    </w:p>
    <w:p>
      <w:pPr>
        <w:pStyle w:val="ListParagraph"/>
        <w:numPr>
          <w:ilvl w:val="0"/>
          <w:numId w:val="2"/>
        </w:numPr>
        <w:spacing w:after="40" w:before="40"/>
      </w:pPr>
      <w:r>
        <w:rPr>
          <w:rFonts w:ascii="Arial" w:cs="Arial" w:eastAsia="Arial" w:hAnsi="Arial"/>
          <w:b w:val="false"/>
          <w:bCs w:val="false"/>
          <w:color w:val="000000"/>
          <w:sz w:val="20"/>
          <w:szCs w:val="20"/>
        </w:rPr>
        <w:t xml:space="preserve">Verify remote server names still resolve from the new VM — particularly important if server names or IP addresses have changed.</w:t>
      </w:r>
    </w:p>
    <w:p>
      <w:pPr>
        <w:pStyle w:val="ListParagraph"/>
        <w:numPr>
          <w:ilvl w:val="0"/>
          <w:numId w:val="2"/>
        </w:numPr>
        <w:spacing w:after="40" w:before="40"/>
      </w:pPr>
      <w:r>
        <w:rPr>
          <w:rFonts w:ascii="Arial" w:cs="Arial" w:eastAsia="Arial" w:hAnsi="Arial"/>
          <w:b w:val="false"/>
          <w:bCs w:val="false"/>
          <w:color w:val="000000"/>
          <w:sz w:val="20"/>
          <w:szCs w:val="20"/>
        </w:rPr>
        <w:t xml:space="preserve">Test each linked server connection explicitly after migration using EXEC sp_testlinkedserver.</w:t>
      </w:r>
    </w:p>
    <w:p>
      <w:pPr>
        <w:pStyle w:val="ListParagraph"/>
        <w:numPr>
          <w:ilvl w:val="0"/>
          <w:numId w:val="2"/>
        </w:numPr>
        <w:spacing w:after="40" w:before="40"/>
      </w:pPr>
      <w:r>
        <w:rPr>
          <w:rFonts w:ascii="Arial" w:cs="Arial" w:eastAsia="Arial" w:hAnsi="Arial"/>
          <w:b w:val="false"/>
          <w:bCs w:val="false"/>
          <w:color w:val="000000"/>
          <w:sz w:val="20"/>
          <w:szCs w:val="20"/>
        </w:rPr>
        <w:t xml:space="preserve">Check for any four-part naming ([server].[db].[schema].[table]) in stored procedures, views, and ad-hoc queries.</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7.4  Service Accounts &amp; Kerberos SPNs</w:t>
      </w:r>
    </w:p>
    <w:p>
      <w:pPr>
        <w:spacing w:after="100" w:before="60"/>
        <w:jc w:val="left"/>
      </w:pPr>
      <w:r>
        <w:rPr>
          <w:rFonts w:ascii="Arial" w:cs="Arial" w:eastAsia="Arial" w:hAnsi="Arial"/>
          <w:b w:val="false"/>
          <w:bCs w:val="false"/>
          <w:i w:val="false"/>
          <w:iCs w:val="false"/>
          <w:color w:val="000000"/>
          <w:sz w:val="20"/>
          <w:szCs w:val="20"/>
        </w:rPr>
        <w:t xml:space="preserve">New virtual machines have new computer account names in Active Directory. Any SQL Server service using Windows Authentication across the network relies on Kerberos Service Principal Names (SPNs) being correctly registered for the new server name. Failure to update SPNs produces cryptic 'Login failed' or 'Cannot generate SSPI context' errors after migration — errors that look like permission problems but are actually Kerberos failures.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Run setspn -L &lt;service_account&gt; on both source and target to compare SPN registrations.</w:t>
      </w:r>
    </w:p>
    <w:p>
      <w:pPr>
        <w:pStyle w:val="ListParagraph"/>
        <w:numPr>
          <w:ilvl w:val="0"/>
          <w:numId w:val="2"/>
        </w:numPr>
        <w:spacing w:after="40" w:before="40"/>
      </w:pPr>
      <w:r>
        <w:rPr>
          <w:rFonts w:ascii="Arial" w:cs="Arial" w:eastAsia="Arial" w:hAnsi="Arial"/>
          <w:b w:val="false"/>
          <w:bCs w:val="false"/>
          <w:color w:val="000000"/>
          <w:sz w:val="20"/>
          <w:szCs w:val="20"/>
        </w:rPr>
        <w:t xml:space="preserve">Register new SPNs: setspn -S MSSQLSvc/&lt;NewServerFQDN&gt;:1433 &lt;domain&gt;\&lt;sql_service_account&gt;</w:t>
      </w:r>
    </w:p>
    <w:p>
      <w:pPr>
        <w:pStyle w:val="ListParagraph"/>
        <w:numPr>
          <w:ilvl w:val="0"/>
          <w:numId w:val="2"/>
        </w:numPr>
        <w:spacing w:after="40" w:before="40"/>
      </w:pPr>
      <w:r>
        <w:rPr>
          <w:rFonts w:ascii="Arial" w:cs="Arial" w:eastAsia="Arial" w:hAnsi="Arial"/>
          <w:b w:val="false"/>
          <w:bCs w:val="false"/>
          <w:color w:val="000000"/>
          <w:sz w:val="20"/>
          <w:szCs w:val="20"/>
        </w:rPr>
        <w:t xml:space="preserve">Register NetBIOS name SPN: setspn -S MSSQLSvc/&lt;NewServerName&gt;:1433 &lt;domain&gt;\&lt;sql_service_account&gt;</w:t>
      </w:r>
    </w:p>
    <w:p>
      <w:pPr>
        <w:pStyle w:val="ListParagraph"/>
        <w:numPr>
          <w:ilvl w:val="0"/>
          <w:numId w:val="2"/>
        </w:numPr>
        <w:spacing w:after="40" w:before="40"/>
      </w:pPr>
      <w:r>
        <w:rPr>
          <w:rFonts w:ascii="Arial" w:cs="Arial" w:eastAsia="Arial" w:hAnsi="Arial"/>
          <w:b w:val="false"/>
          <w:bCs w:val="false"/>
          <w:color w:val="000000"/>
          <w:sz w:val="20"/>
          <w:szCs w:val="20"/>
        </w:rPr>
        <w:t xml:space="preserve">If using the AG Listener, register SPNs for the Listener name and IP as well as each node.</w:t>
      </w:r>
    </w:p>
    <w:p>
      <w:pPr>
        <w:pStyle w:val="ListParagraph"/>
        <w:numPr>
          <w:ilvl w:val="0"/>
          <w:numId w:val="2"/>
        </w:numPr>
        <w:spacing w:after="40" w:before="40"/>
      </w:pPr>
      <w:r>
        <w:rPr>
          <w:rFonts w:ascii="Arial" w:cs="Arial" w:eastAsia="Arial" w:hAnsi="Arial"/>
          <w:b w:val="false"/>
          <w:bCs w:val="false"/>
          <w:color w:val="000000"/>
          <w:sz w:val="20"/>
          <w:szCs w:val="20"/>
        </w:rPr>
        <w:t xml:space="preserve">Verify SQL Server service account has 'Read servicePrincipalName' permission in AD — required for automatic SPN registration.</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7.5  TempDB Configuration</w:t>
      </w:r>
    </w:p>
    <w:p>
      <w:pPr>
        <w:spacing w:after="100" w:before="60"/>
        <w:jc w:val="left"/>
      </w:pPr>
      <w:r>
        <w:rPr>
          <w:rFonts w:ascii="Arial" w:cs="Arial" w:eastAsia="Arial" w:hAnsi="Arial"/>
          <w:b w:val="false"/>
          <w:bCs w:val="false"/>
          <w:i w:val="false"/>
          <w:iCs w:val="false"/>
          <w:color w:val="000000"/>
          <w:sz w:val="20"/>
          <w:szCs w:val="20"/>
        </w:rPr>
        <w:t xml:space="preserve">TempDB configuration is instance-level and will revert to SQL Server defaults on a fresh installation. SQL Server 2022 installer improves defaults but it must still be explicitly verified. Incorrect TempDB configuration is a common source of post-migration performance issues under concurrent load.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Setting</w:t>
            </w:r>
          </w:p>
        </w:tc>
        <w:tc>
          <w:tcPr>
            <w:tcW w:type="dxa" w:w="61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Recommended Configuration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Number of data files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One file per logical CPU core, up to a maximum of 8. Check: SELECT cpu_count FROM sys.dm_os_sys_info</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File sizes</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TempDB data files must be equal size to ensure proportional fill works correctly. Pre-size to avoid auto-growth during business hours.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Auto-growth</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Set to fixed MB increments (e.g. 512MB), never percentage-based. Disable instant file initialisation check.</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File locations</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Place TempDB on the fastest available storage (NVMe if available). Separate from data and log files where possible.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Trace flags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Consider T1118 (uniform extent allocation) — enabled by default in SQL 2016+ but verify it is active on the new instance.</w:t>
            </w:r>
          </w:p>
        </w:tc>
      </w:tr>
    </w:tbl>
    <w:p>
      <w:pPr>
        <w:spacing w:after="0" w:before="120"/>
      </w:pPr>
      <w:r>
        <w:t xml:space="preserve"/>
      </w:r>
    </w:p>
    <w:p>
      <w:pPr>
        <w:pStyle w:val="Heading2"/>
        <w:spacing w:after="80" w:before="240"/>
      </w:pPr>
      <w:r>
        <w:rPr>
          <w:rFonts w:ascii="Arial" w:cs="Arial" w:eastAsia="Arial" w:hAnsi="Arial"/>
          <w:b/>
          <w:bCs/>
          <w:color w:val="2E75B6"/>
          <w:sz w:val="22"/>
          <w:szCs w:val="22"/>
        </w:rPr>
        <w:t xml:space="preserve">7.6  Max Server Memory</w:t>
      </w:r>
    </w:p>
    <w:p>
      <w:pPr>
        <w:spacing w:after="100" w:before="60"/>
        <w:jc w:val="left"/>
      </w:pPr>
      <w:r>
        <w:rPr>
          <w:rFonts w:ascii="Arial" w:cs="Arial" w:eastAsia="Arial" w:hAnsi="Arial"/>
          <w:b w:val="false"/>
          <w:bCs w:val="false"/>
          <w:i w:val="false"/>
          <w:iCs w:val="false"/>
          <w:color w:val="000000"/>
          <w:sz w:val="20"/>
          <w:szCs w:val="20"/>
        </w:rPr>
        <w:t xml:space="preserve">SQL Server will consume all available RAM on the host VM if Max Server Memory is not explicitly configured. On a freshly provisioned Windows Server 2025 VM the default is 2,147,483,647 MB (effectively unlimited). This will cause the OS and other services to be starved of memory under load. Set this immediately after installation, before the instance handles any workload.</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Rule of thumb: reserve 10% of RAM or 4GB for the OS (whichever is greater) plus memory for any other services on the VM.</w:t>
      </w:r>
    </w:p>
    <w:p>
      <w:pPr>
        <w:pStyle w:val="ListParagraph"/>
        <w:numPr>
          <w:ilvl w:val="0"/>
          <w:numId w:val="2"/>
        </w:numPr>
        <w:spacing w:after="40" w:before="40"/>
      </w:pPr>
      <w:r>
        <w:rPr>
          <w:rFonts w:ascii="Arial" w:cs="Arial" w:eastAsia="Arial" w:hAnsi="Arial"/>
          <w:b w:val="false"/>
          <w:bCs w:val="false"/>
          <w:color w:val="000000"/>
          <w:sz w:val="20"/>
          <w:szCs w:val="20"/>
        </w:rPr>
        <w:t xml:space="preserve">Example: 64GB VM — set Max Server Memory to 56GB (leaving ~8GB for OS and services).</w:t>
      </w:r>
    </w:p>
    <w:p>
      <w:pPr>
        <w:pStyle w:val="ListParagraph"/>
        <w:numPr>
          <w:ilvl w:val="0"/>
          <w:numId w:val="2"/>
        </w:numPr>
        <w:spacing w:after="40" w:before="40"/>
      </w:pPr>
      <w:r>
        <w:rPr>
          <w:rFonts w:ascii="Arial" w:cs="Arial" w:eastAsia="Arial" w:hAnsi="Arial"/>
          <w:b w:val="false"/>
          <w:bCs w:val="false"/>
          <w:color w:val="000000"/>
          <w:sz w:val="20"/>
          <w:szCs w:val="20"/>
        </w:rPr>
        <w:t xml:space="preserve">Use sp_configure 'max server memory (MB)', &lt;value&gt;; RECONFIGURE WITH OVERRIDE to apply.</w:t>
      </w:r>
    </w:p>
    <w:p>
      <w:pPr>
        <w:pStyle w:val="ListParagraph"/>
        <w:numPr>
          <w:ilvl w:val="0"/>
          <w:numId w:val="2"/>
        </w:numPr>
        <w:spacing w:after="40" w:before="40"/>
      </w:pPr>
      <w:r>
        <w:rPr>
          <w:rFonts w:ascii="Arial" w:cs="Arial" w:eastAsia="Arial" w:hAnsi="Arial"/>
          <w:b w:val="false"/>
          <w:bCs w:val="false"/>
          <w:color w:val="000000"/>
          <w:sz w:val="20"/>
          <w:szCs w:val="20"/>
        </w:rPr>
        <w:t xml:space="preserve">Monitor via sys.dm_os_performance_counters (Buffer Manager: Total Server Memory) to validate after load testing.</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7.7  Always On AG Endpoint &amp; Certificate Validation</w:t>
      </w:r>
    </w:p>
    <w:p>
      <w:pPr>
        <w:spacing w:after="100" w:before="60"/>
        <w:jc w:val="left"/>
      </w:pPr>
      <w:r>
        <w:rPr>
          <w:rFonts w:ascii="Arial" w:cs="Arial" w:eastAsia="Arial" w:hAnsi="Arial"/>
          <w:b w:val="false"/>
          <w:bCs w:val="false"/>
          <w:i w:val="false"/>
          <w:iCs w:val="false"/>
          <w:color w:val="000000"/>
          <w:sz w:val="20"/>
          <w:szCs w:val="20"/>
        </w:rPr>
        <w:t xml:space="preserve">The Database Mirroring Endpoints used by Always On Availability Groups must be explicitly recreated on the new SQL 2022 instances. If the existing AG uses Windows Authentication for endpoints (the default in a domain environment), the endpoints need validating against the new server and cluster configuration. Verify the following after AG creation:</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Run SELECT * FROM sys.dm_hadr_availability_replica_states on the primary to confirm all replicas show CONNECTED state.</w:t>
      </w:r>
    </w:p>
    <w:p>
      <w:pPr>
        <w:pStyle w:val="ListParagraph"/>
        <w:numPr>
          <w:ilvl w:val="0"/>
          <w:numId w:val="2"/>
        </w:numPr>
        <w:spacing w:after="40" w:before="40"/>
      </w:pPr>
      <w:r>
        <w:rPr>
          <w:rFonts w:ascii="Arial" w:cs="Arial" w:eastAsia="Arial" w:hAnsi="Arial"/>
          <w:b w:val="false"/>
          <w:bCs w:val="false"/>
          <w:color w:val="000000"/>
          <w:sz w:val="20"/>
          <w:szCs w:val="20"/>
        </w:rPr>
        <w:t xml:space="preserve">Check SELECT * FROM sys.availability_groups — confirm synchronisation health shows HEALTHY for synchronous replicas.</w:t>
      </w:r>
    </w:p>
    <w:p>
      <w:pPr>
        <w:pStyle w:val="ListParagraph"/>
        <w:numPr>
          <w:ilvl w:val="0"/>
          <w:numId w:val="2"/>
        </w:numPr>
        <w:spacing w:after="40" w:before="40"/>
      </w:pPr>
      <w:r>
        <w:rPr>
          <w:rFonts w:ascii="Arial" w:cs="Arial" w:eastAsia="Arial" w:hAnsi="Arial"/>
          <w:b w:val="false"/>
          <w:bCs w:val="false"/>
          <w:color w:val="000000"/>
          <w:sz w:val="20"/>
          <w:szCs w:val="20"/>
        </w:rPr>
        <w:t xml:space="preserve">Validate the AG Listener resolves correctly from application servers and client machines — test with sqlcmd -S &lt;ListenerName&gt; -Q 'SELECT @@SERVERNAME'.</w:t>
      </w:r>
    </w:p>
    <w:p>
      <w:pPr>
        <w:pStyle w:val="ListParagraph"/>
        <w:numPr>
          <w:ilvl w:val="0"/>
          <w:numId w:val="2"/>
        </w:numPr>
        <w:spacing w:after="40" w:before="40"/>
      </w:pPr>
      <w:r>
        <w:rPr>
          <w:rFonts w:ascii="Arial" w:cs="Arial" w:eastAsia="Arial" w:hAnsi="Arial"/>
          <w:b w:val="false"/>
          <w:bCs w:val="false"/>
          <w:color w:val="000000"/>
          <w:sz w:val="20"/>
          <w:szCs w:val="20"/>
        </w:rPr>
        <w:t xml:space="preserve">Confirm automatic failover is correctly configured on synchronous replicas within Site A only — the async DR replica in Site B must be set to manual failover mode.</w:t>
      </w:r>
    </w:p>
    <w:p>
      <w:pPr>
        <w:pStyle w:val="ListParagraph"/>
        <w:numPr>
          <w:ilvl w:val="0"/>
          <w:numId w:val="2"/>
        </w:numPr>
        <w:spacing w:after="40" w:before="40"/>
      </w:pPr>
      <w:r>
        <w:rPr>
          <w:rFonts w:ascii="Arial" w:cs="Arial" w:eastAsia="Arial" w:hAnsi="Arial"/>
          <w:b w:val="false"/>
          <w:bCs w:val="false"/>
          <w:color w:val="000000"/>
          <w:sz w:val="20"/>
          <w:szCs w:val="20"/>
        </w:rPr>
        <w:t xml:space="preserve">Test a controlled manual switchover in a maintenance window before go-live to validate the entire failover chain end-to-end.</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7.8  Object Ownership Chains</w:t>
      </w:r>
    </w:p>
    <w:p>
      <w:pPr>
        <w:spacing w:after="100" w:before="60"/>
        <w:jc w:val="left"/>
      </w:pPr>
      <w:r>
        <w:rPr>
          <w:rFonts w:ascii="Arial" w:cs="Arial" w:eastAsia="Arial" w:hAnsi="Arial"/>
          <w:b w:val="false"/>
          <w:bCs w:val="false"/>
          <w:i w:val="false"/>
          <w:iCs w:val="false"/>
          <w:color w:val="000000"/>
          <w:sz w:val="20"/>
          <w:szCs w:val="20"/>
        </w:rPr>
        <w:t xml:space="preserve">A frequently missed migration issue: database objects owned by named SQL logins rather than dbo will cause permission failures after migration if those logins do not exist on the new server with the same SID. Use the following query on each source database to identify non-dbo owned objects:</w:t>
      </w:r>
    </w:p>
    <w:p>
      <w:pPr>
        <w:spacing w:after="0" w:before="40"/>
      </w:pPr>
      <w:r>
        <w:t xml:space="preserve"/>
      </w:r>
    </w:p>
    <w:p>
      <w:pPr>
        <w:spacing w:after="60" w:before="60"/>
      </w:pPr>
      <w:r>
        <w:rPr>
          <w:rFonts w:ascii="Courier New" w:cs="Courier New" w:eastAsia="Courier New" w:hAnsi="Courier New"/>
          <w:color w:val="1F3864"/>
          <w:sz w:val="16"/>
          <w:szCs w:val="16"/>
        </w:rPr>
        <w:t xml:space="preserve">SELECT name, type_desc, SUSER_SNAME(principal_id) AS owner FROM sys.objects WHERE principal_id IS NOT NULL AND principal_id &lt;&gt; 1 ORDER BY type_desc, name</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Transfer ownership of all non-system objects to dbo using ALTER AUTHORIZATION ON OBJECT::&lt;schema&gt;.&lt;name&gt; TO dbo where appropriate.</w:t>
      </w:r>
    </w:p>
    <w:p>
      <w:pPr>
        <w:pStyle w:val="ListParagraph"/>
        <w:numPr>
          <w:ilvl w:val="0"/>
          <w:numId w:val="2"/>
        </w:numPr>
        <w:spacing w:after="40" w:before="40"/>
      </w:pPr>
      <w:r>
        <w:rPr>
          <w:rFonts w:ascii="Arial" w:cs="Arial" w:eastAsia="Arial" w:hAnsi="Arial"/>
          <w:b w:val="false"/>
          <w:bCs w:val="false"/>
          <w:color w:val="000000"/>
          <w:sz w:val="20"/>
          <w:szCs w:val="20"/>
        </w:rPr>
        <w:t xml:space="preserve">Re-create any SQL logins that must remain as object owners, ensuring SIDs match using CREATE LOGIN ... WITH SID = &lt;original_sid&gt;.</w:t>
      </w:r>
    </w:p>
    <w:p>
      <w:pPr>
        <w:pStyle w:val="ListParagraph"/>
        <w:numPr>
          <w:ilvl w:val="0"/>
          <w:numId w:val="2"/>
        </w:numPr>
        <w:spacing w:after="40" w:before="40"/>
      </w:pPr>
      <w:r>
        <w:rPr>
          <w:rFonts w:ascii="Arial" w:cs="Arial" w:eastAsia="Arial" w:hAnsi="Arial"/>
          <w:b w:val="false"/>
          <w:bCs w:val="false"/>
          <w:color w:val="000000"/>
          <w:sz w:val="20"/>
          <w:szCs w:val="20"/>
        </w:rPr>
        <w:t xml:space="preserve">Orphaned users (users in the database without a matching server login) must be resolved using ALTER USER ... WITH LOGIN = ... after migration.</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7.9  Deprecated Features &amp; Breaking Changes in SQL 2022</w:t>
      </w:r>
    </w:p>
    <w:p>
      <w:pPr>
        <w:spacing w:after="100" w:before="60"/>
        <w:jc w:val="left"/>
      </w:pPr>
      <w:r>
        <w:rPr>
          <w:rFonts w:ascii="Arial" w:cs="Arial" w:eastAsia="Arial" w:hAnsi="Arial"/>
          <w:b w:val="false"/>
          <w:bCs w:val="false"/>
          <w:i w:val="false"/>
          <w:iCs w:val="false"/>
          <w:color w:val="000000"/>
          <w:sz w:val="20"/>
          <w:szCs w:val="20"/>
        </w:rPr>
        <w:t xml:space="preserve">SQL Server 2022 removes or deprecates several features present in SQL 2016. Run the following query on each database before migration to identify usage of deprecated features:</w:t>
      </w:r>
    </w:p>
    <w:p>
      <w:pPr>
        <w:spacing w:after="0" w:before="40"/>
      </w:pPr>
      <w:r>
        <w:t xml:space="preserve"/>
      </w:r>
    </w:p>
    <w:p>
      <w:pPr>
        <w:spacing w:after="60" w:before="60"/>
      </w:pPr>
      <w:r>
        <w:rPr>
          <w:rFonts w:ascii="Courier New" w:cs="Courier New" w:eastAsia="Courier New" w:hAnsi="Courier New"/>
          <w:color w:val="1F3864"/>
          <w:sz w:val="16"/>
          <w:szCs w:val="16"/>
        </w:rPr>
        <w:t xml:space="preserve">SELECT * FROM sys.dm_os_performance_counters WHERE object_name LIKE '%Deprecated%' AND cntr_value &gt; 0</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Deprecated / Removed Feature</w:t>
            </w:r>
          </w:p>
        </w:tc>
        <w:tc>
          <w:tcPr>
            <w:tcW w:type="dxa" w:w="61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Recommended Replacement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DBCC SHOWCONTIG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Use sys.dm_db_index_physical_stats instead</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 Server Native Client (SNAC / SQLNCLI11)</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Migrate to Microsoft ODBC Driver 18 for SQL Server or Microsoft.Data.SqlClient in .NET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Non-ANSI *= and =* outer join syntax</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Replace with standard LEFT/RIGHT OUTER JOIN syntax</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SET ROWCOUNT for DML statements</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Use TOP clause in UPDATE/DELETE/INSERT statements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sp_dboption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Use ALTER DATABASE statements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Database compatibility level &lt; 100</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Any databases still at level 80 or 90 must be raised before migration</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8  .NET Application Compatibility</w:t>
      </w:r>
    </w:p>
    <w:p>
      <w:pPr>
        <w:spacing w:after="100" w:before="60"/>
        <w:jc w:val="left"/>
      </w:pPr>
      <w:r>
        <w:rPr>
          <w:rFonts w:ascii="Arial" w:cs="Arial" w:eastAsia="Arial" w:hAnsi="Arial"/>
          <w:b w:val="false"/>
          <w:bCs w:val="false"/>
          <w:i w:val="false"/>
          <w:iCs w:val="false"/>
          <w:color w:val="000000"/>
          <w:sz w:val="20"/>
          <w:szCs w:val="20"/>
        </w:rPr>
        <w:t xml:space="preserve">This section is specifically aimed at the development team and covers areas where the SQL Server upgrade can introduce subtle but serious issues in .NET applications. These items should be reviewed by a senior .NET developer alongside the DBA team before any production cutover.</w:t>
      </w:r>
    </w:p>
    <w:p>
      <w:pPr>
        <w:spacing w:after="0" w:before="80"/>
      </w:pPr>
      <w:r>
        <w:t xml:space="preserve"/>
      </w:r>
    </w:p>
    <w:p>
      <w:pPr>
        <w:pStyle w:val="Heading2"/>
        <w:spacing w:after="80" w:before="240"/>
      </w:pPr>
      <w:r>
        <w:rPr>
          <w:rFonts w:ascii="Arial" w:cs="Arial" w:eastAsia="Arial" w:hAnsi="Arial"/>
          <w:b/>
          <w:bCs/>
          <w:color w:val="2E75B6"/>
          <w:sz w:val="22"/>
          <w:szCs w:val="22"/>
        </w:rPr>
        <w:t xml:space="preserve">8.1  Connection Strings — AG Listener &amp; MultiSubnetFailover</w:t>
      </w:r>
    </w:p>
    <w:p>
      <w:pPr>
        <w:spacing w:after="100" w:before="60"/>
        <w:jc w:val="left"/>
      </w:pPr>
      <w:r>
        <w:rPr>
          <w:rFonts w:ascii="Arial" w:cs="Arial" w:eastAsia="Arial" w:hAnsi="Arial"/>
          <w:b w:val="false"/>
          <w:bCs w:val="false"/>
          <w:i w:val="false"/>
          <w:iCs w:val="false"/>
          <w:color w:val="000000"/>
          <w:sz w:val="20"/>
          <w:szCs w:val="20"/>
        </w:rPr>
        <w:t xml:space="preserve">This is the most critical .NET item. Applications connecting directly to a SQL Server node name (e.g. Data Source=SQL-PROD-01) will NOT benefit from automatic Always On failover — they will simply fail to connect until DNS propagates or the application is restarted. Every application must point at the Availability Group Listener name, and the connection string must include MultiSubnetFailover=True.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Type</w:t>
            </w:r>
          </w:p>
        </w:tc>
        <w:tc>
          <w:tcPr>
            <w:tcW w:type="dxa" w:w="75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Connection String Example</w:t>
            </w:r>
          </w:p>
        </w:tc>
      </w:tr>
      <w:tr>
        <w:tc>
          <w:tcPr>
            <w:tcW w:type="dxa" w:w="18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Incorrect</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Courier New" w:cs="Courier New" w:eastAsia="Courier New" w:hAnsi="Courier New"/>
                <w:color w:val="1F3864"/>
                <w:sz w:val="16"/>
                <w:szCs w:val="16"/>
              </w:rPr>
              <w:t xml:space="preserve">Data Source=SQL-PROD-01; Initial Catalog=MyDB; Integrated Security=True</w:t>
            </w:r>
          </w:p>
        </w:tc>
      </w:tr>
      <w:tr>
        <w:tc>
          <w:tcPr>
            <w:tcW w:type="dxa" w:w="18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18"/>
                <w:szCs w:val="18"/>
              </w:rPr>
              <w:t xml:space="preserve">Correct</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Courier New" w:cs="Courier New" w:eastAsia="Courier New" w:hAnsi="Courier New"/>
                <w:color w:val="1F3864"/>
                <w:sz w:val="16"/>
                <w:szCs w:val="16"/>
              </w:rPr>
              <w:t xml:space="preserve">Data Source=AG-LISTENER-01; Initial Catalog=MyDB; Integrated Security=True; MultiSubnetFailover=True</w:t>
            </w:r>
          </w:p>
        </w:tc>
      </w:tr>
      <w:tr>
        <w:tc>
          <w:tcPr>
            <w:tcW w:type="dxa" w:w="1800"/>
            <w:tcBorders>
              <w:top w:val="single" w:color="CCCCCC" w:sz="4"/>
              <w:left w:val="single" w:color="CCCCCC" w:sz="4"/>
              <w:bottom w:val="single" w:color="CCCCCC" w:sz="4"/>
              <w:right w:val="single" w:color="CCCCCC" w:sz="4"/>
            </w:tcBorders>
            <w:shd w:fill="D5E3F0" w:val="clear"/>
            <w:tcMar>
              <w:top w:type="dxa" w:w="80"/>
              <w:left w:type="dxa" w:w="140"/>
              <w:bottom w:type="dxa" w:w="80"/>
              <w:right w:type="dxa" w:w="140"/>
            </w:tcMar>
            <w:vAlign w:val="center"/>
          </w:tcPr>
          <w:p>
            <w:pPr>
              <w:jc w:val="center"/>
            </w:pPr>
            <w:r>
              <w:rPr>
                <w:rFonts w:ascii="Arial" w:cs="Arial" w:eastAsia="Arial" w:hAnsi="Arial"/>
                <w:b/>
                <w:bCs/>
                <w:color w:val="1F3864"/>
                <w:sz w:val="18"/>
                <w:szCs w:val="18"/>
              </w:rPr>
              <w:t xml:space="preserve">EF Core</w:t>
            </w:r>
          </w:p>
        </w:tc>
        <w:tc>
          <w:tcPr>
            <w:tcW w:type="dxa" w:w="7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Courier New" w:cs="Courier New" w:eastAsia="Courier New" w:hAnsi="Courier New"/>
                <w:color w:val="1F3864"/>
                <w:sz w:val="16"/>
                <w:szCs w:val="16"/>
              </w:rPr>
              <w:t xml:space="preserve">"ConnectionStrings": { "Default": "Server=AG-LISTENER-01;Database=MyDB;Integrated Security=True;MultiSubnetFailover=True;TrustServerCertificate=True" }</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MultiSubnetFailover=True enables parallel connection attempts across all IPs registered to the listener, dramatically reducing failover reconnect time from ~21 seconds to under 1 second.</w:t>
      </w:r>
    </w:p>
    <w:p>
      <w:pPr>
        <w:pStyle w:val="ListParagraph"/>
        <w:numPr>
          <w:ilvl w:val="0"/>
          <w:numId w:val="2"/>
        </w:numPr>
        <w:spacing w:after="40" w:before="40"/>
      </w:pPr>
      <w:r>
        <w:rPr>
          <w:rFonts w:ascii="Arial" w:cs="Arial" w:eastAsia="Arial" w:hAnsi="Arial"/>
          <w:b w:val="false"/>
          <w:bCs w:val="false"/>
          <w:color w:val="000000"/>
          <w:sz w:val="20"/>
          <w:szCs w:val="20"/>
        </w:rPr>
        <w:t xml:space="preserve">Audit all connection strings in: appsettings.json / web.config / app.config files, Azure Key Vault / secrets stores, environment variables in IIS application pools, and any hardcoded SqlConnection strings in legacy code.</w:t>
      </w:r>
    </w:p>
    <w:p>
      <w:pPr>
        <w:pStyle w:val="ListParagraph"/>
        <w:numPr>
          <w:ilvl w:val="0"/>
          <w:numId w:val="2"/>
        </w:numPr>
        <w:spacing w:after="40" w:before="40"/>
      </w:pPr>
      <w:r>
        <w:rPr>
          <w:rFonts w:ascii="Arial" w:cs="Arial" w:eastAsia="Arial" w:hAnsi="Arial"/>
          <w:b w:val="false"/>
          <w:bCs w:val="false"/>
          <w:color w:val="000000"/>
          <w:sz w:val="20"/>
          <w:szCs w:val="20"/>
        </w:rPr>
        <w:t xml:space="preserve">Note: TrustServerCertificate=True may be required if SQL Server 2022 is using a self-signed certificate. For production, deploy a proper CA-signed certificate and set Encrypt=True instead.</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8.2  Entity Framework — Connection Resiliency</w:t>
      </w:r>
    </w:p>
    <w:p>
      <w:pPr>
        <w:spacing w:after="100" w:before="60"/>
        <w:jc w:val="left"/>
      </w:pPr>
      <w:r>
        <w:rPr>
          <w:rFonts w:ascii="Arial" w:cs="Arial" w:eastAsia="Arial" w:hAnsi="Arial"/>
          <w:b w:val="false"/>
          <w:bCs w:val="false"/>
          <w:i w:val="false"/>
          <w:iCs w:val="false"/>
          <w:color w:val="000000"/>
          <w:sz w:val="20"/>
          <w:szCs w:val="20"/>
        </w:rPr>
        <w:t xml:space="preserve">Without connection resiliency configured, an Always On automatic failover (even one that completes in under 30 seconds) will throw unhandled SqlException errors in .NET applications. EF does not retry by default. This must be explicitly configured before go-live.</w:t>
      </w:r>
    </w:p>
    <w:p>
      <w:pPr>
        <w:spacing w:after="0" w:before="60"/>
      </w:pPr>
      <w:r>
        <w:t xml:space="preserve"/>
      </w:r>
    </w:p>
    <w:p>
      <w:pPr>
        <w:pStyle w:val="Heading2"/>
        <w:spacing w:after="80" w:before="240"/>
      </w:pPr>
      <w:r>
        <w:rPr>
          <w:rFonts w:ascii="Arial" w:cs="Arial" w:eastAsia="Arial" w:hAnsi="Arial"/>
          <w:b/>
          <w:bCs/>
          <w:color w:val="2E75B6"/>
          <w:sz w:val="22"/>
          <w:szCs w:val="22"/>
        </w:rPr>
        <w:t xml:space="preserve">EF Core (recommended for all new development):</w:t>
      </w:r>
    </w:p>
    <w:p>
      <w:pPr>
        <w:spacing w:after="40" w:before="60"/>
      </w:pPr>
      <w:r>
        <w:rPr>
          <w:rFonts w:ascii="Courier New" w:cs="Courier New" w:eastAsia="Courier New" w:hAnsi="Courier New"/>
          <w:color w:val="1F3864"/>
          <w:sz w:val="16"/>
          <w:szCs w:val="16"/>
        </w:rPr>
        <w:t xml:space="preserve">// Program.cs / Startup.cs
builder.Services.AddDbContext&lt;AppDbContext&gt;(options =&gt;
    options.UseSqlServer(connectionString, sqlOptions =&gt;
    {
        sqlOptions.EnableRetryOnFailure(
            maxRetryCount: 5,
            maxRetryDelay: TimeSpan.FromSeconds(10),
            errorNumbersToAdd: null);
    }));</w:t>
      </w:r>
    </w:p>
    <w:p>
      <w:pPr>
        <w:spacing w:after="0" w:before="80"/>
      </w:pPr>
      <w:r>
        <w:t xml:space="preserve"/>
      </w:r>
    </w:p>
    <w:p>
      <w:pPr>
        <w:pStyle w:val="Heading2"/>
        <w:spacing w:after="80" w:before="240"/>
      </w:pPr>
      <w:r>
        <w:rPr>
          <w:rFonts w:ascii="Arial" w:cs="Arial" w:eastAsia="Arial" w:hAnsi="Arial"/>
          <w:b/>
          <w:bCs/>
          <w:color w:val="2E75B6"/>
          <w:sz w:val="22"/>
          <w:szCs w:val="22"/>
        </w:rPr>
        <w:t xml:space="preserve">EF6 (legacy applications):</w:t>
      </w:r>
    </w:p>
    <w:p>
      <w:pPr>
        <w:spacing w:after="40" w:before="60"/>
      </w:pPr>
      <w:r>
        <w:rPr>
          <w:rFonts w:ascii="Courier New" w:cs="Courier New" w:eastAsia="Courier New" w:hAnsi="Courier New"/>
          <w:color w:val="1F3864"/>
          <w:sz w:val="16"/>
          <w:szCs w:val="16"/>
        </w:rPr>
        <w:t xml:space="preserve">// DbConfiguration class
public class AppDbConfiguration : DbConfiguration
{
    public AppDbConfiguration()
    {
        SetExecutionStrategy("System.Data.SqlClient",
            () =&gt; new SqlAzureExecutionStrategy(5, TimeSpan.FromSeconds(10)));
    }
}</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The SqlAzureExecutionStrategy in EF6 handles transient fault retry and is appropriate for Always On failover scenarios even on-premises.</w:t>
      </w:r>
    </w:p>
    <w:p>
      <w:pPr>
        <w:pStyle w:val="ListParagraph"/>
        <w:numPr>
          <w:ilvl w:val="0"/>
          <w:numId w:val="2"/>
        </w:numPr>
        <w:spacing w:after="40" w:before="40"/>
      </w:pPr>
      <w:r>
        <w:rPr>
          <w:rFonts w:ascii="Arial" w:cs="Arial" w:eastAsia="Arial" w:hAnsi="Arial"/>
          <w:b w:val="false"/>
          <w:bCs w:val="false"/>
          <w:color w:val="000000"/>
          <w:sz w:val="20"/>
          <w:szCs w:val="20"/>
        </w:rPr>
        <w:t xml:space="preserve">Ensure transactions are marked as retriable — EF6 will throw if a retry is attempted inside a user-initiated transaction without BeginTransaction() being wrapped correctly.</w:t>
      </w:r>
    </w:p>
    <w:p>
      <w:pPr>
        <w:pStyle w:val="ListParagraph"/>
        <w:numPr>
          <w:ilvl w:val="0"/>
          <w:numId w:val="2"/>
        </w:numPr>
        <w:spacing w:after="40" w:before="40"/>
      </w:pPr>
      <w:r>
        <w:rPr>
          <w:rFonts w:ascii="Arial" w:cs="Arial" w:eastAsia="Arial" w:hAnsi="Arial"/>
          <w:b w:val="false"/>
          <w:bCs w:val="false"/>
          <w:color w:val="000000"/>
          <w:sz w:val="20"/>
          <w:szCs w:val="20"/>
        </w:rPr>
        <w:t xml:space="preserve">EF Core's EnableRetryOnFailure handles this transparently for most scenarios but be aware that explicit transactions using ExecutionStrategy.Execute() require manual handling.</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8.3  SqlClient Package — System.Data.SqlClient vs Microsoft.Data.SqlClient</w:t>
      </w:r>
    </w:p>
    <w:p>
      <w:pPr>
        <w:spacing w:after="100" w:before="60"/>
        <w:jc w:val="left"/>
      </w:pPr>
      <w:r>
        <w:rPr>
          <w:rFonts w:ascii="Arial" w:cs="Arial" w:eastAsia="Arial" w:hAnsi="Arial"/>
          <w:b w:val="false"/>
          <w:bCs w:val="false"/>
          <w:i w:val="false"/>
          <w:iCs w:val="false"/>
          <w:color w:val="000000"/>
          <w:sz w:val="20"/>
          <w:szCs w:val="20"/>
        </w:rPr>
        <w:t xml:space="preserve">The legacy System.Data.SqlClient namespace (shipped as part of the .NET Framework) is no longer actively developed. Microsoft.Data.SqlClient is the current, actively maintained SQL Server driver and is required for some SQL 2022 features including TLS 1.3 support, Always Encrypted with secure enclaves, and the latest authentication modes.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Feature</w:t>
            </w:r>
          </w:p>
        </w:tc>
        <w:tc>
          <w:tcPr>
            <w:tcW w:type="dxa" w:w="328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System.Data.SqlClient</w:t>
            </w:r>
          </w:p>
        </w:tc>
        <w:tc>
          <w:tcPr>
            <w:tcW w:type="dxa" w:w="328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Microsoft.Data.SqlClient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Active development</w:t>
            </w:r>
          </w:p>
        </w:tc>
        <w:tc>
          <w:tcPr>
            <w:tcW w:type="dxa" w:w="328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843C0C"/>
                <w:sz w:val="18"/>
                <w:szCs w:val="18"/>
              </w:rPr>
              <w:t xml:space="preserve">No — maintenance only</w:t>
            </w:r>
          </w:p>
        </w:tc>
        <w:tc>
          <w:tcPr>
            <w:tcW w:type="dxa" w:w="328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375623"/>
                <w:sz w:val="18"/>
                <w:szCs w:val="18"/>
              </w:rPr>
              <w:t xml:space="preserve">Yes — regular releases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 Server 2022 full feature support</w:t>
            </w:r>
          </w:p>
        </w:tc>
        <w:tc>
          <w:tcPr>
            <w:tcW w:type="dxa" w:w="3280"/>
            <w:tcBorders>
              <w:top w:val="single" w:color="CCCCCC" w:sz="4"/>
              <w:left w:val="single" w:color="CCCCCC" w:sz="4"/>
              <w:bottom w:val="single" w:color="CCCCCC" w:sz="4"/>
              <w:right w:val="single" w:color="CCCCCC" w:sz="4"/>
            </w:tcBorders>
            <w:shd w:fill="FDE9D9" w:val="clear"/>
            <w:tcMar>
              <w:top w:type="dxa" w:w="80"/>
              <w:left w:type="dxa" w:w="140"/>
              <w:bottom w:type="dxa" w:w="80"/>
              <w:right w:type="dxa" w:w="140"/>
            </w:tcMar>
            <w:vAlign w:val="center"/>
          </w:tcPr>
          <w:p>
            <w:pPr>
              <w:jc w:val="center"/>
            </w:pPr>
            <w:r>
              <w:rPr>
                <w:rFonts w:ascii="Arial" w:cs="Arial" w:eastAsia="Arial" w:hAnsi="Arial"/>
                <w:b w:val="false"/>
                <w:bCs w:val="false"/>
                <w:color w:val="843C0C"/>
                <w:sz w:val="18"/>
                <w:szCs w:val="18"/>
              </w:rPr>
              <w:t xml:space="preserve">Partial</w:t>
            </w:r>
          </w:p>
        </w:tc>
        <w:tc>
          <w:tcPr>
            <w:tcW w:type="dxa" w:w="3280"/>
            <w:tcBorders>
              <w:top w:val="single" w:color="CCCCCC" w:sz="4"/>
              <w:left w:val="single" w:color="CCCCCC" w:sz="4"/>
              <w:bottom w:val="single" w:color="CCCCCC" w:sz="4"/>
              <w:right w:val="single" w:color="CCCCCC" w:sz="4"/>
            </w:tcBorders>
            <w:shd w:fill="D9F0F0" w:val="clear"/>
            <w:tcMar>
              <w:top w:type="dxa" w:w="80"/>
              <w:left w:type="dxa" w:w="140"/>
              <w:bottom w:type="dxa" w:w="80"/>
              <w:right w:type="dxa" w:w="140"/>
            </w:tcMar>
            <w:vAlign w:val="center"/>
          </w:tcPr>
          <w:p>
            <w:pPr>
              <w:jc w:val="center"/>
            </w:pPr>
            <w:r>
              <w:rPr>
                <w:rFonts w:ascii="Arial" w:cs="Arial" w:eastAsia="Arial" w:hAnsi="Arial"/>
                <w:b w:val="false"/>
                <w:bCs w:val="false"/>
                <w:color w:val="1A5C5C"/>
                <w:sz w:val="18"/>
                <w:szCs w:val="18"/>
              </w:rPr>
              <w:t xml:space="preserve">Full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Always Encrypted with enclaves</w:t>
            </w:r>
          </w:p>
        </w:tc>
        <w:tc>
          <w:tcPr>
            <w:tcW w:type="dxa" w:w="328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843C0C"/>
                <w:sz w:val="18"/>
                <w:szCs w:val="18"/>
              </w:rPr>
              <w:t xml:space="preserve">No</w:t>
            </w:r>
          </w:p>
        </w:tc>
        <w:tc>
          <w:tcPr>
            <w:tcW w:type="dxa" w:w="328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375623"/>
                <w:sz w:val="18"/>
                <w:szCs w:val="18"/>
              </w:rPr>
              <w:t xml:space="preserve">Yes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TLS 1.3 support</w:t>
            </w:r>
          </w:p>
        </w:tc>
        <w:tc>
          <w:tcPr>
            <w:tcW w:type="dxa" w:w="3280"/>
            <w:tcBorders>
              <w:top w:val="single" w:color="CCCCCC" w:sz="4"/>
              <w:left w:val="single" w:color="CCCCCC" w:sz="4"/>
              <w:bottom w:val="single" w:color="CCCCCC" w:sz="4"/>
              <w:right w:val="single" w:color="CCCCCC" w:sz="4"/>
            </w:tcBorders>
            <w:shd w:fill="FDE9D9" w:val="clear"/>
            <w:tcMar>
              <w:top w:type="dxa" w:w="80"/>
              <w:left w:type="dxa" w:w="140"/>
              <w:bottom w:type="dxa" w:w="80"/>
              <w:right w:type="dxa" w:w="140"/>
            </w:tcMar>
            <w:vAlign w:val="center"/>
          </w:tcPr>
          <w:p>
            <w:pPr>
              <w:jc w:val="center"/>
            </w:pPr>
            <w:r>
              <w:rPr>
                <w:rFonts w:ascii="Arial" w:cs="Arial" w:eastAsia="Arial" w:hAnsi="Arial"/>
                <w:b w:val="false"/>
                <w:bCs w:val="false"/>
                <w:color w:val="843C0C"/>
                <w:sz w:val="18"/>
                <w:szCs w:val="18"/>
              </w:rPr>
              <w:t xml:space="preserve">No</w:t>
            </w:r>
          </w:p>
        </w:tc>
        <w:tc>
          <w:tcPr>
            <w:tcW w:type="dxa" w:w="3280"/>
            <w:tcBorders>
              <w:top w:val="single" w:color="CCCCCC" w:sz="4"/>
              <w:left w:val="single" w:color="CCCCCC" w:sz="4"/>
              <w:bottom w:val="single" w:color="CCCCCC" w:sz="4"/>
              <w:right w:val="single" w:color="CCCCCC" w:sz="4"/>
            </w:tcBorders>
            <w:shd w:fill="D9F0F0" w:val="clear"/>
            <w:tcMar>
              <w:top w:type="dxa" w:w="80"/>
              <w:left w:type="dxa" w:w="140"/>
              <w:bottom w:type="dxa" w:w="80"/>
              <w:right w:type="dxa" w:w="140"/>
            </w:tcMar>
            <w:vAlign w:val="center"/>
          </w:tcPr>
          <w:p>
            <w:pPr>
              <w:jc w:val="center"/>
            </w:pPr>
            <w:r>
              <w:rPr>
                <w:rFonts w:ascii="Arial" w:cs="Arial" w:eastAsia="Arial" w:hAnsi="Arial"/>
                <w:b w:val="false"/>
                <w:bCs w:val="false"/>
                <w:color w:val="1A5C5C"/>
                <w:sz w:val="18"/>
                <w:szCs w:val="18"/>
              </w:rPr>
              <w:t xml:space="preserve">Yes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Azure AD / Entra ID auth</w:t>
            </w:r>
          </w:p>
        </w:tc>
        <w:tc>
          <w:tcPr>
            <w:tcW w:type="dxa" w:w="328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843C0C"/>
                <w:sz w:val="18"/>
                <w:szCs w:val="18"/>
              </w:rPr>
              <w:t xml:space="preserve">Limited</w:t>
            </w:r>
          </w:p>
        </w:tc>
        <w:tc>
          <w:tcPr>
            <w:tcW w:type="dxa" w:w="328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375623"/>
                <w:sz w:val="18"/>
                <w:szCs w:val="18"/>
              </w:rPr>
              <w:t xml:space="preserve">Full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NuGet package name</w:t>
            </w:r>
          </w:p>
        </w:tc>
        <w:tc>
          <w:tcPr>
            <w:tcW w:type="dxa" w:w="3280"/>
            <w:tcBorders>
              <w:top w:val="single" w:color="CCCCCC" w:sz="4"/>
              <w:left w:val="single" w:color="CCCCCC" w:sz="4"/>
              <w:bottom w:val="single" w:color="CCCCCC" w:sz="4"/>
              <w:right w:val="single" w:color="CCCCCC" w:sz="4"/>
            </w:tcBorders>
            <w:shd w:fill="FDE9D9" w:val="clear"/>
            <w:tcMar>
              <w:top w:type="dxa" w:w="80"/>
              <w:left w:type="dxa" w:w="140"/>
              <w:bottom w:type="dxa" w:w="80"/>
              <w:right w:type="dxa" w:w="140"/>
            </w:tcMar>
            <w:vAlign w:val="center"/>
          </w:tcPr>
          <w:p>
            <w:pPr>
              <w:jc w:val="center"/>
            </w:pPr>
            <w:r>
              <w:rPr>
                <w:rFonts w:ascii="Arial" w:cs="Arial" w:eastAsia="Arial" w:hAnsi="Arial"/>
                <w:b w:val="false"/>
                <w:bCs w:val="false"/>
                <w:color w:val="843C0C"/>
                <w:sz w:val="18"/>
                <w:szCs w:val="18"/>
              </w:rPr>
              <w:t xml:space="preserve">Built into .NET Framework</w:t>
            </w:r>
          </w:p>
        </w:tc>
        <w:tc>
          <w:tcPr>
            <w:tcW w:type="dxa" w:w="3280"/>
            <w:tcBorders>
              <w:top w:val="single" w:color="CCCCCC" w:sz="4"/>
              <w:left w:val="single" w:color="CCCCCC" w:sz="4"/>
              <w:bottom w:val="single" w:color="CCCCCC" w:sz="4"/>
              <w:right w:val="single" w:color="CCCCCC" w:sz="4"/>
            </w:tcBorders>
            <w:shd w:fill="D9F0F0" w:val="clear"/>
            <w:tcMar>
              <w:top w:type="dxa" w:w="80"/>
              <w:left w:type="dxa" w:w="140"/>
              <w:bottom w:type="dxa" w:w="80"/>
              <w:right w:type="dxa" w:w="140"/>
            </w:tcMar>
            <w:vAlign w:val="center"/>
          </w:tcPr>
          <w:p>
            <w:pPr>
              <w:jc w:val="center"/>
            </w:pPr>
            <w:r>
              <w:rPr>
                <w:rFonts w:ascii="Arial" w:cs="Arial" w:eastAsia="Arial" w:hAnsi="Arial"/>
                <w:b w:val="false"/>
                <w:bCs w:val="false"/>
                <w:color w:val="1A5C5C"/>
                <w:sz w:val="18"/>
                <w:szCs w:val="18"/>
              </w:rPr>
              <w:t xml:space="preserve">Microsoft.Data.SqlClient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.NET 6/7/8/9 support</w:t>
            </w:r>
          </w:p>
        </w:tc>
        <w:tc>
          <w:tcPr>
            <w:tcW w:type="dxa" w:w="328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843C0C"/>
                <w:sz w:val="18"/>
                <w:szCs w:val="18"/>
              </w:rPr>
              <w:t xml:space="preserve">Via compatibility shim</w:t>
            </w:r>
          </w:p>
        </w:tc>
        <w:tc>
          <w:tcPr>
            <w:tcW w:type="dxa" w:w="328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375623"/>
                <w:sz w:val="18"/>
                <w:szCs w:val="18"/>
              </w:rPr>
              <w:t xml:space="preserve">Native</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Migration path: replace using System.Data.SqlClient; with using Microsoft.Data.SqlClient; and install the NuGet package. In most cases this is the only change required.</w:t>
      </w:r>
    </w:p>
    <w:p>
      <w:pPr>
        <w:pStyle w:val="ListParagraph"/>
        <w:numPr>
          <w:ilvl w:val="0"/>
          <w:numId w:val="2"/>
        </w:numPr>
        <w:spacing w:after="40" w:before="40"/>
      </w:pPr>
      <w:r>
        <w:rPr>
          <w:rFonts w:ascii="Arial" w:cs="Arial" w:eastAsia="Arial" w:hAnsi="Arial"/>
          <w:b w:val="false"/>
          <w:bCs w:val="false"/>
          <w:color w:val="000000"/>
          <w:sz w:val="20"/>
          <w:szCs w:val="20"/>
        </w:rPr>
        <w:t xml:space="preserve">For .NET Framework apps, add the NuGet package Microsoft.Data.SqlClient and update the namespace. The API surface is intentionally compatible.</w:t>
      </w:r>
    </w:p>
    <w:p>
      <w:pPr>
        <w:pStyle w:val="ListParagraph"/>
        <w:numPr>
          <w:ilvl w:val="0"/>
          <w:numId w:val="2"/>
        </w:numPr>
        <w:spacing w:after="40" w:before="40"/>
      </w:pPr>
      <w:r>
        <w:rPr>
          <w:rFonts w:ascii="Arial" w:cs="Arial" w:eastAsia="Arial" w:hAnsi="Arial"/>
          <w:b w:val="false"/>
          <w:bCs w:val="false"/>
          <w:color w:val="000000"/>
          <w:sz w:val="20"/>
          <w:szCs w:val="20"/>
        </w:rPr>
        <w:t xml:space="preserve">Check for any direct references to SqlException, SqlConnection, SqlCommand, SqlDataAdapter — all exist in both namespaces with identical signatures.</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8.4  DATETIME / DATETIME2 Edge Cases</w:t>
      </w:r>
    </w:p>
    <w:p>
      <w:pPr>
        <w:spacing w:after="100" w:before="60"/>
        <w:jc w:val="left"/>
      </w:pPr>
      <w:r>
        <w:rPr>
          <w:rFonts w:ascii="Arial" w:cs="Arial" w:eastAsia="Arial" w:hAnsi="Arial"/>
          <w:b w:val="false"/>
          <w:bCs w:val="false"/>
          <w:i w:val="false"/>
          <w:iCs w:val="false"/>
          <w:color w:val="000000"/>
          <w:sz w:val="20"/>
          <w:szCs w:val="20"/>
        </w:rPr>
        <w:t xml:space="preserve">SQL Server 2022 at higher compatibility levels enforces stricter date handling. .NET's DateTime.MinValue (0001-01-01 00:00:00) is outside the range of SQL Server's legacy datetime type (minimum 1753-01-01). This is an existing limitation but can surface more visibly after a compatibility level change.</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Search the codebase for DateTime.MinValue being passed as a SQL parameter — replace with SqlDateTime.MinValue or use a nullable DateTime? and pass DBNull.Value.</w:t>
      </w:r>
    </w:p>
    <w:p>
      <w:pPr>
        <w:pStyle w:val="ListParagraph"/>
        <w:numPr>
          <w:ilvl w:val="0"/>
          <w:numId w:val="2"/>
        </w:numPr>
        <w:spacing w:after="40" w:before="40"/>
      </w:pPr>
      <w:r>
        <w:rPr>
          <w:rFonts w:ascii="Arial" w:cs="Arial" w:eastAsia="Arial" w:hAnsi="Arial"/>
          <w:b w:val="false"/>
          <w:bCs w:val="false"/>
          <w:color w:val="000000"/>
          <w:sz w:val="20"/>
          <w:szCs w:val="20"/>
        </w:rPr>
        <w:t xml:space="preserve">Check for implicit datetime-to-datetime2 conversions — if columns are being changed to datetime2 as part of modernisation, verify all .NET code sending DateTime parameters handles the precision difference (datetime2 supports 100ns precision; datetime is 3.33ms).</w:t>
      </w:r>
    </w:p>
    <w:p>
      <w:pPr>
        <w:pStyle w:val="ListParagraph"/>
        <w:numPr>
          <w:ilvl w:val="0"/>
          <w:numId w:val="2"/>
        </w:numPr>
        <w:spacing w:after="40" w:before="40"/>
      </w:pPr>
      <w:r>
        <w:rPr>
          <w:rFonts w:ascii="Arial" w:cs="Arial" w:eastAsia="Arial" w:hAnsi="Arial"/>
          <w:b w:val="false"/>
          <w:bCs w:val="false"/>
          <w:color w:val="000000"/>
          <w:sz w:val="20"/>
          <w:szCs w:val="20"/>
        </w:rPr>
        <w:t xml:space="preserve">Use DateTimeOffset for any columns that need timezone awareness — this maps to SQL Server's datetimeoffset type and is essential for any international or cloud-connected workloads.</w:t>
      </w:r>
    </w:p>
    <w:p>
      <w:pPr>
        <w:pStyle w:val="ListParagraph"/>
        <w:numPr>
          <w:ilvl w:val="0"/>
          <w:numId w:val="2"/>
        </w:numPr>
        <w:spacing w:after="40" w:before="40"/>
      </w:pPr>
      <w:r>
        <w:rPr>
          <w:rFonts w:ascii="Arial" w:cs="Arial" w:eastAsia="Arial" w:hAnsi="Arial"/>
          <w:b w:val="false"/>
          <w:bCs w:val="false"/>
          <w:color w:val="000000"/>
          <w:sz w:val="20"/>
          <w:szCs w:val="20"/>
        </w:rPr>
        <w:t xml:space="preserve">Run this query to identify all datetime columns across all databases for review: SELECT TABLE_NAME, COLUMN_NAME FROM INFORMATION_SCHEMA.COLUMNS WHERE DATA_TYPE = 'datetime' ORDER BY TABLE_NAME.</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8.5  Dapper — Parameter Type Inference</w:t>
      </w:r>
    </w:p>
    <w:p>
      <w:pPr>
        <w:spacing w:after="100" w:before="60"/>
        <w:jc w:val="left"/>
      </w:pPr>
      <w:r>
        <w:rPr>
          <w:rFonts w:ascii="Arial" w:cs="Arial" w:eastAsia="Arial" w:hAnsi="Arial"/>
          <w:b w:val="false"/>
          <w:bCs w:val="false"/>
          <w:i w:val="false"/>
          <w:iCs w:val="false"/>
          <w:color w:val="000000"/>
          <w:sz w:val="20"/>
          <w:szCs w:val="20"/>
        </w:rPr>
        <w:t xml:space="preserve">Dapper infers SQL parameter types from .NET types. After a compatibility level upgrade, subtle type mismatches can cause query plan inefficiencies (parameter sniffing issues) or failures on columns that have changed type. Key points for Dapper-heavy codebases: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Dapper maps string to nvarchar(4000) by default. If your database columns are varchar (non-unicode), explicitly use DbString: new DbString { Value = val, IsAnsi = true, Length = 100 }. Type mismatch causes implicit conversion, preventing index seeks.</w:t>
      </w:r>
    </w:p>
    <w:p>
      <w:pPr>
        <w:pStyle w:val="ListParagraph"/>
        <w:numPr>
          <w:ilvl w:val="0"/>
          <w:numId w:val="2"/>
        </w:numPr>
        <w:spacing w:after="40" w:before="40"/>
      </w:pPr>
      <w:r>
        <w:rPr>
          <w:rFonts w:ascii="Arial" w:cs="Arial" w:eastAsia="Arial" w:hAnsi="Arial"/>
          <w:b w:val="false"/>
          <w:bCs w:val="false"/>
          <w:color w:val="000000"/>
          <w:sz w:val="20"/>
          <w:szCs w:val="20"/>
        </w:rPr>
        <w:t xml:space="preserve">Dapper maps int? to int NULL correctly, but check any dynamic parameter building — DynamicParameters.Add() calls should explicitly specify DbType where the column type is non-obvious.</w:t>
      </w:r>
    </w:p>
    <w:p>
      <w:pPr>
        <w:pStyle w:val="ListParagraph"/>
        <w:numPr>
          <w:ilvl w:val="0"/>
          <w:numId w:val="2"/>
        </w:numPr>
        <w:spacing w:after="40" w:before="40"/>
      </w:pPr>
      <w:r>
        <w:rPr>
          <w:rFonts w:ascii="Arial" w:cs="Arial" w:eastAsia="Arial" w:hAnsi="Arial"/>
          <w:b w:val="false"/>
          <w:bCs w:val="false"/>
          <w:color w:val="000000"/>
          <w:sz w:val="20"/>
          <w:szCs w:val="20"/>
        </w:rPr>
        <w:t xml:space="preserve">After compatibility level changes, review slow queries using Query Store (sys.query_store_query_text) — Dapper-generated queries are visible there and regressions will show as increased average duration.</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8.6  .NET Application Pre-Go-Live Checklist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6220"/>
        <w:gridCol w:w="1300"/>
        <w:gridCol w:w="1300"/>
        <w:gridCol w:w="900"/>
      </w:tblGrid>
      <w:tr>
        <w:trPr>
          <w:tblHeader/>
        </w:trPr>
        <w:tc>
          <w:tcPr>
            <w:tcW w:type="dxa" w:w="54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t>
            </w:r>
          </w:p>
        </w:tc>
        <w:tc>
          <w:tcPr>
            <w:tcW w:type="dxa" w:w="622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Check Item</w:t>
            </w:r>
          </w:p>
        </w:tc>
        <w:tc>
          <w:tcPr>
            <w:tcW w:type="dxa" w:w="13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Owner</w:t>
            </w:r>
          </w:p>
        </w:tc>
        <w:tc>
          <w:tcPr>
            <w:tcW w:type="dxa" w:w="13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Verified By</w:t>
            </w:r>
          </w:p>
        </w:tc>
        <w:tc>
          <w:tcPr>
            <w:tcW w:type="dxa" w:w="9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Status</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1</w:t>
            </w:r>
          </w:p>
        </w:tc>
        <w:tc>
          <w:tcPr>
            <w:tcW w:type="dxa" w:w="62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connection strings updated to point at AG Listener with MultiSubnetFailover=True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Dev Lead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DBA</w:t>
            </w:r>
          </w:p>
        </w:tc>
        <w:tc>
          <w:tcPr>
            <w:tcW w:type="dxa" w:w="9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r>
        <w:tc>
          <w:tcPr>
            <w:tcW w:type="dxa" w:w="5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2</w:t>
            </w:r>
          </w:p>
        </w:tc>
        <w:tc>
          <w:tcPr>
            <w:tcW w:type="dxa" w:w="62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EF Core EnableRetryOnFailure or EF6 SqlAzureExecutionStrategy configured on all DbContext instances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Dev Lead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Dev Lead</w:t>
            </w:r>
          </w:p>
        </w:tc>
        <w:tc>
          <w:tcPr>
            <w:tcW w:type="dxa" w:w="9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3</w:t>
            </w:r>
          </w:p>
        </w:tc>
        <w:tc>
          <w:tcPr>
            <w:tcW w:type="dxa" w:w="62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Microsoft.Data.SqlClient NuGet package installed; System.Data.SqlClient namespace removed or flagged for migration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Dev Lead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Dev Lead</w:t>
            </w:r>
          </w:p>
        </w:tc>
        <w:tc>
          <w:tcPr>
            <w:tcW w:type="dxa" w:w="9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r>
        <w:tc>
          <w:tcPr>
            <w:tcW w:type="dxa" w:w="5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4</w:t>
            </w:r>
          </w:p>
        </w:tc>
        <w:tc>
          <w:tcPr>
            <w:tcW w:type="dxa" w:w="62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DateTime.MinValue / DateTime.MaxValue usage audited; replaced with nullable DateTime? or SqlDateTime equivalents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Dev Team</w:t>
            </w:r>
          </w:p>
        </w:tc>
        <w:tc>
          <w:tcPr>
            <w:tcW w:type="dxa" w:w="1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Dev Lead</w:t>
            </w:r>
          </w:p>
        </w:tc>
        <w:tc>
          <w:tcPr>
            <w:tcW w:type="dxa" w:w="9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5</w:t>
            </w:r>
          </w:p>
        </w:tc>
        <w:tc>
          <w:tcPr>
            <w:tcW w:type="dxa" w:w="62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Dapper varchar vs nvarchar parameter types verified for high-volume query paths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Dev Team</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DBA</w:t>
            </w:r>
          </w:p>
        </w:tc>
        <w:tc>
          <w:tcPr>
            <w:tcW w:type="dxa" w:w="9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r>
        <w:tc>
          <w:tcPr>
            <w:tcW w:type="dxa" w:w="5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6</w:t>
            </w:r>
          </w:p>
        </w:tc>
        <w:tc>
          <w:tcPr>
            <w:tcW w:type="dxa" w:w="62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Connection string Encrypt and TrustServerCertificate settings reviewed for SQL 2022 TLS requirements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Dev Lead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Security</w:t>
            </w:r>
          </w:p>
        </w:tc>
        <w:tc>
          <w:tcPr>
            <w:tcW w:type="dxa" w:w="9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7</w:t>
            </w:r>
          </w:p>
        </w:tc>
        <w:tc>
          <w:tcPr>
            <w:tcW w:type="dxa" w:w="62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application config files / secrets stores / Key Vault entries updated with new connection strings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Dev Lead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Infra</w:t>
            </w:r>
          </w:p>
        </w:tc>
        <w:tc>
          <w:tcPr>
            <w:tcW w:type="dxa" w:w="9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r>
        <w:tc>
          <w:tcPr>
            <w:tcW w:type="dxa" w:w="5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8</w:t>
            </w:r>
          </w:p>
        </w:tc>
        <w:tc>
          <w:tcPr>
            <w:tcW w:type="dxa" w:w="62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Smoke test suite executed against UAT SQL 2022 instance — all endpoints returning expected results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QA</w:t>
            </w:r>
          </w:p>
        </w:tc>
        <w:tc>
          <w:tcPr>
            <w:tcW w:type="dxa" w:w="1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QA Lead</w:t>
            </w:r>
          </w:p>
        </w:tc>
        <w:tc>
          <w:tcPr>
            <w:tcW w:type="dxa" w:w="9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9</w:t>
            </w:r>
          </w:p>
        </w:tc>
        <w:tc>
          <w:tcPr>
            <w:tcW w:type="dxa" w:w="62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Performance baseline run against SQL 2022 UAT — query durations within 10% of SQL 2016 baseline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DBA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DBA</w:t>
            </w:r>
          </w:p>
        </w:tc>
        <w:tc>
          <w:tcPr>
            <w:tcW w:type="dxa" w:w="9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r>
        <w:tc>
          <w:tcPr>
            <w:tcW w:type="dxa" w:w="5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10</w:t>
            </w:r>
          </w:p>
        </w:tc>
        <w:tc>
          <w:tcPr>
            <w:tcW w:type="dxa" w:w="62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Rollback connection strings documented and tested — ability to re-point apps to SQL 2016 within 15 minutes confirmed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Dev Lead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PM</w:t>
            </w:r>
          </w:p>
        </w:tc>
        <w:tc>
          <w:tcPr>
            <w:tcW w:type="dxa" w:w="9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8"/>
                <w:szCs w:val="18"/>
              </w:rPr>
              <w:t xml:space="preserve">Not Started</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9  Vanilla SQL Server Build Configuration &amp; Recommended Settings</w:t>
      </w:r>
    </w:p>
    <w:p>
      <w:pPr>
        <w:spacing w:after="100" w:before="60"/>
        <w:jc w:val="left"/>
      </w:pPr>
      <w:r>
        <w:rPr>
          <w:rFonts w:ascii="Arial" w:cs="Arial" w:eastAsia="Arial" w:hAnsi="Arial"/>
          <w:b w:val="false"/>
          <w:bCs w:val="false"/>
          <w:i w:val="false"/>
          <w:iCs w:val="false"/>
          <w:color w:val="000000"/>
          <w:sz w:val="20"/>
          <w:szCs w:val="20"/>
        </w:rPr>
        <w:t xml:space="preserve">This section serves as a build checklist and configuration reference for every new SQL Server 2022 and SQL Server 2025 instance deployed in this programme. It covers installation feature selection, post-install instance configuration, Query Store, and all key sp_configure parameters. Use this as a handoff document for any engineer performing the build.</w:t>
      </w:r>
    </w:p>
    <w:p>
      <w:pPr>
        <w:spacing w:after="0" w:before="80"/>
      </w:pPr>
      <w:r>
        <w:t xml:space="preserve"/>
      </w:r>
    </w:p>
    <w:p>
      <w:pPr>
        <w:pStyle w:val="Heading2"/>
        <w:spacing w:after="80" w:before="240"/>
      </w:pPr>
      <w:r>
        <w:rPr>
          <w:rFonts w:ascii="Arial" w:cs="Arial" w:eastAsia="Arial" w:hAnsi="Arial"/>
          <w:b/>
          <w:bCs/>
          <w:color w:val="2E75B6"/>
          <w:sz w:val="22"/>
          <w:szCs w:val="22"/>
        </w:rPr>
        <w:t xml:space="preserve">9.1  Installation Feature Selection</w:t>
      </w:r>
    </w:p>
    <w:p>
      <w:pPr>
        <w:spacing w:after="100" w:before="60"/>
        <w:jc w:val="left"/>
      </w:pPr>
      <w:r>
        <w:rPr>
          <w:rFonts w:ascii="Arial" w:cs="Arial" w:eastAsia="Arial" w:hAnsi="Arial"/>
          <w:b w:val="false"/>
          <w:bCs w:val="false"/>
          <w:i w:val="false"/>
          <w:iCs w:val="false"/>
          <w:color w:val="000000"/>
          <w:sz w:val="20"/>
          <w:szCs w:val="20"/>
        </w:rPr>
        <w:t xml:space="preserve">The table below defines which SQL Server features should be installed on each server role. Only install what is required — unnecessary features increase attack surface and resource consumption.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20"/>
        <w:gridCol w:w="1320"/>
        <w:gridCol w:w="1320"/>
        <w:gridCol w:w="1320"/>
        <w:gridCol w:w="880"/>
      </w:tblGrid>
      <w:tr>
        <w:trPr>
          <w:tblHeader/>
        </w:trPr>
        <w:tc>
          <w:tcPr>
            <w:tcW w:type="dxa" w:w="32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Feature / Component</w:t>
            </w:r>
          </w:p>
        </w:tc>
        <w:tc>
          <w:tcPr>
            <w:tcW w:type="dxa" w:w="132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SQL-PROD-01/02</w:t>
            </w:r>
          </w:p>
        </w:tc>
        <w:tc>
          <w:tcPr>
            <w:tcW w:type="dxa" w:w="132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SQL-DR-01</w:t>
            </w:r>
          </w:p>
        </w:tc>
        <w:tc>
          <w:tcPr>
            <w:tcW w:type="dxa" w:w="132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SQL-REP-01 (SSRS)</w:t>
            </w:r>
          </w:p>
        </w:tc>
        <w:tc>
          <w:tcPr>
            <w:tcW w:type="dxa" w:w="132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SQL-INT-01 (SSIS)</w:t>
            </w:r>
          </w:p>
        </w:tc>
        <w:tc>
          <w:tcPr>
            <w:tcW w:type="dxa" w:w="88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SQL-DEV-01</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Database Engine Services</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88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 Server Replication</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88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Full-Text and Semantic Search</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88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Data Quality Services (DQS)</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88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val="false"/>
                <w:bCs w:val="false"/>
                <w:color w:val="7F6000"/>
                <w:sz w:val="18"/>
                <w:szCs w:val="18"/>
              </w:rPr>
              <w:t xml:space="preserve">Optional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 Server Analysis Services (SSAS)</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88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val="false"/>
                <w:bCs w:val="false"/>
                <w:color w:val="7F6000"/>
                <w:sz w:val="18"/>
                <w:szCs w:val="18"/>
              </w:rPr>
              <w:t xml:space="preserve">Optional</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 Server Reporting Services (SSRS)</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88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 Server Integration Services (SSIS)</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88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val="false"/>
                <w:bCs w:val="false"/>
                <w:color w:val="7F6000"/>
                <w:sz w:val="18"/>
                <w:szCs w:val="18"/>
              </w:rPr>
              <w:t xml:space="preserve">Optional</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Master Data Services (MDS)</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88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Machine Learning Services / Extensibility</w:t>
            </w:r>
          </w:p>
        </w:tc>
        <w:tc>
          <w:tcPr>
            <w:tcW w:type="dxa" w:w="132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val="false"/>
                <w:bCs w:val="false"/>
                <w:color w:val="7F6000"/>
                <w:sz w:val="18"/>
                <w:szCs w:val="18"/>
              </w:rPr>
              <w:t xml:space="preserve">Optional</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88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val="false"/>
                <w:bCs w:val="false"/>
                <w:color w:val="7F6000"/>
                <w:sz w:val="18"/>
                <w:szCs w:val="18"/>
              </w:rPr>
              <w:t xml:space="preserve">Optional</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 Server Management Tools (SSMS)</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88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Client Tools Connectivity</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88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PolyBase Query Service for External Data</w:t>
            </w:r>
          </w:p>
        </w:tc>
        <w:tc>
          <w:tcPr>
            <w:tcW w:type="dxa" w:w="132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val="false"/>
                <w:bCs w:val="false"/>
                <w:color w:val="7F6000"/>
                <w:sz w:val="18"/>
                <w:szCs w:val="18"/>
              </w:rPr>
              <w:t xml:space="preserve">Optional</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132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color w:val="595959"/>
                <w:sz w:val="18"/>
                <w:szCs w:val="18"/>
              </w:rPr>
              <w:t xml:space="preserve">✗</w:t>
            </w:r>
          </w:p>
        </w:tc>
        <w:tc>
          <w:tcPr>
            <w:tcW w:type="dxa" w:w="88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val="false"/>
                <w:bCs w:val="false"/>
                <w:color w:val="7F6000"/>
                <w:sz w:val="18"/>
                <w:szCs w:val="18"/>
              </w:rPr>
              <w:t xml:space="preserve">Optional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Azure Arc Agent Integration</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132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c>
          <w:tcPr>
            <w:tcW w:type="dxa" w:w="88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w:t>
            </w:r>
          </w:p>
        </w:tc>
      </w:tr>
    </w:tbl>
    <w:p>
      <w:pPr>
        <w:spacing w:after="0" w:before="80"/>
      </w:pPr>
      <w:r>
        <w:t xml:space="preserve"/>
      </w:r>
    </w:p>
    <w:p>
      <w:pPr>
        <w:spacing w:after="100" w:before="60"/>
        <w:jc w:val="left"/>
      </w:pPr>
      <w:r>
        <w:rPr>
          <w:rFonts w:ascii="Arial" w:cs="Arial" w:eastAsia="Arial" w:hAnsi="Arial"/>
          <w:b w:val="false"/>
          <w:bCs w:val="false"/>
          <w:i/>
          <w:iCs/>
          <w:color w:val="595959"/>
          <w:sz w:val="20"/>
          <w:szCs w:val="20"/>
        </w:rPr>
        <w:t xml:space="preserve">Note: SSMS should not be installed on production servers. Use a dedicated management jump box or Azure Data Studio on an admin workstation. SQL Server 2025 retains the same feature set; install the 2025 edition using the same matrix above.</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9.2  SSIS — Integration Services Configuration</w:t>
      </w:r>
    </w:p>
    <w:p>
      <w:pPr>
        <w:spacing w:after="100" w:before="60"/>
        <w:jc w:val="left"/>
      </w:pPr>
      <w:r>
        <w:rPr>
          <w:rFonts w:ascii="Arial" w:cs="Arial" w:eastAsia="Arial" w:hAnsi="Arial"/>
          <w:b w:val="false"/>
          <w:bCs w:val="false"/>
          <w:i w:val="false"/>
          <w:iCs w:val="false"/>
          <w:color w:val="000000"/>
          <w:sz w:val="20"/>
          <w:szCs w:val="20"/>
        </w:rPr>
        <w:t xml:space="preserve">SQL Server Integration Services (SSIS) requires post-install configuration beyond the base installer. The SSIS Catalog (SSISDB) is the recommended deployment model for all SQL 2022 / 2025 environments.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SSIS Configuration Item</w:t>
            </w:r>
          </w:p>
        </w:tc>
        <w:tc>
          <w:tcPr>
            <w:tcW w:type="dxa" w:w="63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Recommended Action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SSIS Catalog (SSISDB)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Create SSISDB on the Integration Services server after install. Requires CLR enabled. Enable server-side logging at the project level.</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Catalog Encryption Password</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Set a strong catalog encryption password and store in the organisation password vault. Required to restore SSISDB to another instance.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Package Protection Level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Use EncryptSensitiveWithUserKey or EncryptAllWithPassword for packages containing credentials. Never store passwords in plain text in packages.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 Server Agent Integration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Create a dedicated proxy account for SSIS job steps. Use Windows Authentication; avoid SQL logins for SSIS execution.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Scale Out (SQL 2022+)</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If high-volume ETL parallelism is required, configure SSIS Scale Out Master and Workers. Not required for standard single-server SSIS.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Package Compatibility</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Run the SSIS Upgrade Wizard to migrate SSIS 2016 packages to SQL 2022 format. Test all packages in DEV before deploying to INT or PROD.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Azure-Enabled SSIS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 2022 supports Azure-enabled SSIS for hybrid data movement. Configure Azure Feature Pack if packages need to access Azure Blob, ADLS, or Azure SQL.</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Logging</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Enable SSIS catalog logging at the project level. Use OnError and OnTaskFailed event handlers. Review execution reports in SSISDB.catalog.executions.</w:t>
            </w:r>
          </w:p>
        </w:tc>
      </w:tr>
    </w:tbl>
    <w:p>
      <w:pPr>
        <w:spacing w:after="0" w:before="120"/>
      </w:pPr>
      <w:r>
        <w:t xml:space="preserve"/>
      </w:r>
    </w:p>
    <w:p>
      <w:pPr>
        <w:pStyle w:val="Heading2"/>
        <w:spacing w:after="80" w:before="240"/>
      </w:pPr>
      <w:r>
        <w:rPr>
          <w:rFonts w:ascii="Arial" w:cs="Arial" w:eastAsia="Arial" w:hAnsi="Arial"/>
          <w:b/>
          <w:bCs/>
          <w:color w:val="2E75B6"/>
          <w:sz w:val="22"/>
          <w:szCs w:val="22"/>
        </w:rPr>
        <w:t xml:space="preserve">9.3  SSRS — Reporting Services Configuration</w:t>
      </w:r>
    </w:p>
    <w:p>
      <w:pPr>
        <w:spacing w:after="100" w:before="60"/>
        <w:jc w:val="left"/>
      </w:pPr>
      <w:r>
        <w:rPr>
          <w:rFonts w:ascii="Arial" w:cs="Arial" w:eastAsia="Arial" w:hAnsi="Arial"/>
          <w:b w:val="false"/>
          <w:bCs w:val="false"/>
          <w:i w:val="false"/>
          <w:iCs w:val="false"/>
          <w:color w:val="000000"/>
          <w:sz w:val="20"/>
          <w:szCs w:val="20"/>
        </w:rPr>
        <w:t xml:space="preserve">SQL Server Reporting Services is installed separately from SQL Server 2017 onwards and must be configured using Report Server Configuration Manager post-install. The SSRS databases (ReportServer, ReportServerTempDB) should be hosted on a dedicated SQL instance, not the reporting server itself where possible.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SSRS Configuration Item</w:t>
            </w:r>
          </w:p>
        </w:tc>
        <w:tc>
          <w:tcPr>
            <w:tcW w:type="dxa" w:w="63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Recommended Action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Report Server Databases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Create ReportServer and ReportServerTempDB on SQL-REP-01 or a dedicated backend instance. Use Windows Authentication for the service account connection.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Service Account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Use a dedicated domain service account (not Local Service). Register an SPN for the service account if Kerberos authentication is required for data sources.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Web Portal URL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Configure a friendly URL (e.g. https://reports.company.com/reports). Apply a valid SSL certificate — do not run SSRS on HTTP in production.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Email Delivery</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Configure SMTP settings for subscription delivery. Test with a simple report subscription before go-live.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Execution Account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Set the unattended execution account for rendering reports that access external resources without user credentials.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Encryption Key</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Back up the SSRS encryption key immediately after configuration. Required to restore or move SSRS to another server.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Subscriptions &amp; Schedules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Re-validate all report subscriptions post-migration. SSRS subscriptions depend on SQL Agent jobs on the backend SQL instance.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Power BI Report Server</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If Power BI reports are in scope, consider upgrading to Power BI Report Server (a superset of SSRS) rather than plain SSRS for SQL 2022+.</w:t>
            </w:r>
          </w:p>
        </w:tc>
      </w:tr>
    </w:tbl>
    <w:p>
      <w:pPr>
        <w:spacing w:after="0" w:before="120"/>
      </w:pPr>
      <w:r>
        <w:t xml:space="preserve"/>
      </w:r>
    </w:p>
    <w:p>
      <w:pPr>
        <w:pStyle w:val="Heading2"/>
        <w:spacing w:after="80" w:before="240"/>
      </w:pPr>
      <w:r>
        <w:rPr>
          <w:rFonts w:ascii="Arial" w:cs="Arial" w:eastAsia="Arial" w:hAnsi="Arial"/>
          <w:b/>
          <w:bCs/>
          <w:color w:val="2E75B6"/>
          <w:sz w:val="22"/>
          <w:szCs w:val="22"/>
        </w:rPr>
        <w:t xml:space="preserve">9.4  Post-Installation Instance Configuration</w:t>
      </w:r>
    </w:p>
    <w:p>
      <w:pPr>
        <w:spacing w:after="100" w:before="60"/>
        <w:jc w:val="left"/>
      </w:pPr>
      <w:r>
        <w:rPr>
          <w:rFonts w:ascii="Arial" w:cs="Arial" w:eastAsia="Arial" w:hAnsi="Arial"/>
          <w:b w:val="false"/>
          <w:bCs w:val="false"/>
          <w:i w:val="false"/>
          <w:iCs w:val="false"/>
          <w:color w:val="000000"/>
          <w:sz w:val="20"/>
          <w:szCs w:val="20"/>
        </w:rPr>
        <w:t xml:space="preserve">The following settings must be applied to every SQL Server instance immediately after installation, before any databases are created or the instance is handed over for use. These are not configured by the installer and are easy to overlook on fresh builds.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Configuration Item</w:t>
            </w:r>
          </w:p>
        </w:tc>
        <w:tc>
          <w:tcPr>
            <w:tcW w:type="dxa" w:w="61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Action Required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Named Pipes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Disable Named Pipes protocol in SQL Server Configuration Manager. Enable TCP/IP only. Restart SQL Server service after change.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TCP Port</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Set a static TCP port (default 1433 for default instances; custom port for named instances). Disable dynamic ports. Update firewall rules accordingly.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 Server Browser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Disable SQL Server Browser service if using static ports and default instances only. Required for named instances.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Remote DAC</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Enable Dedicated Administrator Connection (DAC) for remote access: sp_configure 'remote admin connections', 1; RECONFIGURE — allows connection when server is under extreme load.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Database Mail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Configure Database Mail profile and account. Required for SQL Agent notifications and SSRS subscriptions. Test with msdb.dbo.sp_send_dbmail.</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Instant File Initialisation</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Ensure the SQL Server service account has the 'Perform volume maintenance tasks' Windows privilege. Dramatically speeds up data file growth and restore operations.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Lock Pages in Memory (LPIM)</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Grant the SQL Server service account the 'Lock pages in memory' Windows privilege to prevent the OS from paging SQL Server buffer pool to disk under memory pressure.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Backup Compression Default</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sp_configure 'backup compression default', 1; RECONFIGURE — enables compression for all backups by default, reducing storage and backup duration significantly.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Windows Update / Patching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Apply the latest SQL Server Cumulative Update (CU) after installation. Check docs.microsoft.com/sql for the latest CU for SQL 2022.</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Antivirus Exclusions</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Configure AV to exclude SQL Server data files (.mdf, .ndf), log files (.ldf), backup files (.bak, .trn), and the SQL Server binary directory from real-time scanning.</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Power Plan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Set Windows Power Plan to High Performance on the host OS. Balanced power plan throttles CPU and causes unpredictable query latency.</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 Server Error Log Retention</w:t>
            </w:r>
          </w:p>
        </w:tc>
        <w:tc>
          <w:tcPr>
            <w:tcW w:type="dxa" w:w="6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sp_cycle_errorlog retained logs: set ErrorLogFile count to 20+ via SSMS &gt; Management &gt; SQL Server Logs &gt; Configure. Default is 6, which loses log history too quickly.</w:t>
            </w:r>
          </w:p>
        </w:tc>
      </w:tr>
    </w:tbl>
    <w:p>
      <w:pPr>
        <w:spacing w:after="0" w:before="120"/>
      </w:pPr>
      <w:r>
        <w:t xml:space="preserve"/>
      </w:r>
    </w:p>
    <w:p>
      <w:pPr>
        <w:pStyle w:val="Heading2"/>
        <w:spacing w:after="80" w:before="240"/>
      </w:pPr>
      <w:r>
        <w:rPr>
          <w:rFonts w:ascii="Arial" w:cs="Arial" w:eastAsia="Arial" w:hAnsi="Arial"/>
          <w:b/>
          <w:bCs/>
          <w:color w:val="2E75B6"/>
          <w:sz w:val="22"/>
          <w:szCs w:val="22"/>
        </w:rPr>
        <w:t xml:space="preserve">9.5  Query Store — Configuration &amp; Best Practices</w:t>
      </w:r>
    </w:p>
    <w:p>
      <w:pPr>
        <w:spacing w:after="100" w:before="60"/>
        <w:jc w:val="left"/>
      </w:pPr>
      <w:r>
        <w:rPr>
          <w:rFonts w:ascii="Arial" w:cs="Arial" w:eastAsia="Arial" w:hAnsi="Arial"/>
          <w:b w:val="false"/>
          <w:bCs w:val="false"/>
          <w:i w:val="false"/>
          <w:iCs w:val="false"/>
          <w:color w:val="000000"/>
          <w:sz w:val="20"/>
          <w:szCs w:val="20"/>
        </w:rPr>
        <w:t xml:space="preserve">Query Store is included in SQL Server 2016 and later and should be enabled on every user database as a standard practice. In SQL Server 2022 Query Store is enabled by default on new databases. It provides query plan history, performance regression detection, and is the foundation for Intelligent Query Processing features. It is essential during and after the compatibility level upgrade process.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Query Store Setting</w:t>
            </w:r>
          </w:p>
        </w:tc>
        <w:tc>
          <w:tcPr>
            <w:tcW w:type="dxa" w:w="21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Recommended Value</w:t>
            </w:r>
          </w:p>
        </w:tc>
        <w:tc>
          <w:tcPr>
            <w:tcW w:type="dxa" w:w="42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Rationale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OPERATION_MODE</w:t>
            </w:r>
          </w:p>
        </w:tc>
        <w:tc>
          <w:tcPr>
            <w:tcW w:type="dxa" w:w="2160"/>
            <w:tcBorders>
              <w:top w:val="single" w:color="CCCCCC" w:sz="4"/>
              <w:left w:val="single" w:color="CCCCCC" w:sz="4"/>
              <w:bottom w:val="single" w:color="CCCCCC" w:sz="4"/>
              <w:right w:val="single" w:color="CCCCCC" w:sz="4"/>
            </w:tcBorders>
            <w:shd w:fill="D5E3F0" w:val="clear"/>
            <w:tcMar>
              <w:top w:type="dxa" w:w="80"/>
              <w:left w:type="dxa" w:w="140"/>
              <w:bottom w:type="dxa" w:w="80"/>
              <w:right w:type="dxa" w:w="140"/>
            </w:tcMar>
            <w:vAlign w:val="center"/>
          </w:tcPr>
          <w:p>
            <w:pPr>
              <w:jc w:val="center"/>
            </w:pPr>
            <w:r>
              <w:rPr>
                <w:rFonts w:ascii="Arial" w:cs="Arial" w:eastAsia="Arial" w:hAnsi="Arial"/>
                <w:b/>
                <w:bCs/>
                <w:color w:val="1F3864"/>
                <w:sz w:val="18"/>
                <w:szCs w:val="18"/>
              </w:rPr>
              <w:t xml:space="preserve">READ_WRITE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Enables capture and plan forcing. Set to READ_ONLY only during emergency troubleshooting.</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CLEANUP_POLICY (stale days)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1F3864"/>
                <w:sz w:val="18"/>
                <w:szCs w:val="18"/>
              </w:rPr>
              <w:t xml:space="preserve">30 days</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Retains 30 days of query history. Increase to 90 on dev/UAT for longer regression analysis windows.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DATA_FLUSH_INTERVAL_SECONDS</w:t>
            </w:r>
          </w:p>
        </w:tc>
        <w:tc>
          <w:tcPr>
            <w:tcW w:type="dxa" w:w="2160"/>
            <w:tcBorders>
              <w:top w:val="single" w:color="CCCCCC" w:sz="4"/>
              <w:left w:val="single" w:color="CCCCCC" w:sz="4"/>
              <w:bottom w:val="single" w:color="CCCCCC" w:sz="4"/>
              <w:right w:val="single" w:color="CCCCCC" w:sz="4"/>
            </w:tcBorders>
            <w:shd w:fill="D5E3F0" w:val="clear"/>
            <w:tcMar>
              <w:top w:type="dxa" w:w="80"/>
              <w:left w:type="dxa" w:w="140"/>
              <w:bottom w:type="dxa" w:w="80"/>
              <w:right w:type="dxa" w:w="140"/>
            </w:tcMar>
            <w:vAlign w:val="center"/>
          </w:tcPr>
          <w:p>
            <w:pPr>
              <w:jc w:val="center"/>
            </w:pPr>
            <w:r>
              <w:rPr>
                <w:rFonts w:ascii="Arial" w:cs="Arial" w:eastAsia="Arial" w:hAnsi="Arial"/>
                <w:b/>
                <w:bCs/>
                <w:color w:val="1F3864"/>
                <w:sz w:val="18"/>
                <w:szCs w:val="18"/>
              </w:rPr>
              <w:t xml:space="preserve">900</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Flush in-memory data to disk every 15 minutes. Lower values increase I/O; higher values risk data loss on crash.</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MAX_STORAGE_SIZE_MB</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1F3864"/>
                <w:sz w:val="18"/>
                <w:szCs w:val="18"/>
              </w:rPr>
              <w:t xml:space="preserve">2048 MB</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2GB per database is sufficient for most OLTP workloads. Increase to 4096+ for high-query-volume databases.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QUERY_CAPTURE_MODE</w:t>
            </w:r>
          </w:p>
        </w:tc>
        <w:tc>
          <w:tcPr>
            <w:tcW w:type="dxa" w:w="2160"/>
            <w:tcBorders>
              <w:top w:val="single" w:color="CCCCCC" w:sz="4"/>
              <w:left w:val="single" w:color="CCCCCC" w:sz="4"/>
              <w:bottom w:val="single" w:color="CCCCCC" w:sz="4"/>
              <w:right w:val="single" w:color="CCCCCC" w:sz="4"/>
            </w:tcBorders>
            <w:shd w:fill="D5E3F0" w:val="clear"/>
            <w:tcMar>
              <w:top w:type="dxa" w:w="80"/>
              <w:left w:type="dxa" w:w="140"/>
              <w:bottom w:type="dxa" w:w="80"/>
              <w:right w:type="dxa" w:w="140"/>
            </w:tcMar>
            <w:vAlign w:val="center"/>
          </w:tcPr>
          <w:p>
            <w:pPr>
              <w:jc w:val="center"/>
            </w:pPr>
            <w:r>
              <w:rPr>
                <w:rFonts w:ascii="Arial" w:cs="Arial" w:eastAsia="Arial" w:hAnsi="Arial"/>
                <w:b/>
                <w:bCs/>
                <w:color w:val="1F3864"/>
                <w:sz w:val="18"/>
                <w:szCs w:val="18"/>
              </w:rPr>
              <w:t xml:space="preserve">AUTO</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 2019+ AUTO mode ignores insignificant queries, reducing noise. Use ALL only for diagnostic periods.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SIZE_BASED_CLEANUP_MODE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1F3864"/>
                <w:sz w:val="18"/>
                <w:szCs w:val="18"/>
              </w:rPr>
              <w:t xml:space="preserve">AUTO</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Automatically purges oldest data when storage limit approaches. Prevents Query Store from going read-only.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MAX_PLANS_PER_QUERY</w:t>
            </w:r>
          </w:p>
        </w:tc>
        <w:tc>
          <w:tcPr>
            <w:tcW w:type="dxa" w:w="2160"/>
            <w:tcBorders>
              <w:top w:val="single" w:color="CCCCCC" w:sz="4"/>
              <w:left w:val="single" w:color="CCCCCC" w:sz="4"/>
              <w:bottom w:val="single" w:color="CCCCCC" w:sz="4"/>
              <w:right w:val="single" w:color="CCCCCC" w:sz="4"/>
            </w:tcBorders>
            <w:shd w:fill="D5E3F0" w:val="clear"/>
            <w:tcMar>
              <w:top w:type="dxa" w:w="80"/>
              <w:left w:type="dxa" w:w="140"/>
              <w:bottom w:type="dxa" w:w="80"/>
              <w:right w:type="dxa" w:w="140"/>
            </w:tcMar>
            <w:vAlign w:val="center"/>
          </w:tcPr>
          <w:p>
            <w:pPr>
              <w:jc w:val="center"/>
            </w:pPr>
            <w:r>
              <w:rPr>
                <w:rFonts w:ascii="Arial" w:cs="Arial" w:eastAsia="Arial" w:hAnsi="Arial"/>
                <w:b/>
                <w:bCs/>
                <w:color w:val="1F3864"/>
                <w:sz w:val="18"/>
                <w:szCs w:val="18"/>
              </w:rPr>
              <w:t xml:space="preserve">200</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Caps plan variants per query. Prevents runaway plan proliferation on highly parameterised queries.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WAIT_STATS_CAPTURE_MODE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1F3864"/>
                <w:sz w:val="18"/>
                <w:szCs w:val="18"/>
              </w:rPr>
              <w:t xml:space="preserve">ON</w:t>
            </w:r>
          </w:p>
        </w:tc>
        <w:tc>
          <w:tcPr>
            <w:tcW w:type="dxa" w:w="4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Captures per-query wait statistics — critical for diagnosing blocking, I/O, and CPU contention post-migration.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QUERY_STORE FOR SECONDARY</w:t>
            </w:r>
          </w:p>
        </w:tc>
        <w:tc>
          <w:tcPr>
            <w:tcW w:type="dxa" w:w="2160"/>
            <w:tcBorders>
              <w:top w:val="single" w:color="CCCCCC" w:sz="4"/>
              <w:left w:val="single" w:color="CCCCCC" w:sz="4"/>
              <w:bottom w:val="single" w:color="CCCCCC" w:sz="4"/>
              <w:right w:val="single" w:color="CCCCCC" w:sz="4"/>
            </w:tcBorders>
            <w:shd w:fill="D5E3F0" w:val="clear"/>
            <w:tcMar>
              <w:top w:type="dxa" w:w="80"/>
              <w:left w:type="dxa" w:w="140"/>
              <w:bottom w:type="dxa" w:w="80"/>
              <w:right w:type="dxa" w:w="140"/>
            </w:tcMar>
            <w:vAlign w:val="center"/>
          </w:tcPr>
          <w:p>
            <w:pPr>
              <w:jc w:val="center"/>
            </w:pPr>
            <w:r>
              <w:rPr>
                <w:rFonts w:ascii="Arial" w:cs="Arial" w:eastAsia="Arial" w:hAnsi="Arial"/>
                <w:b/>
                <w:bCs/>
                <w:color w:val="1F3864"/>
                <w:sz w:val="18"/>
                <w:szCs w:val="18"/>
              </w:rPr>
              <w:t xml:space="preserve">ON (SQL 2022+)</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New in SQL 2022 — enables Query Store on readable AG secondary replicas. Captures read-only workload independently.</w:t>
            </w:r>
          </w:p>
        </w:tc>
      </w:tr>
    </w:tbl>
    <w:p>
      <w:pPr>
        <w:spacing w:after="0" w:before="60"/>
      </w:pPr>
      <w:r>
        <w:t xml:space="preserve"/>
      </w:r>
    </w:p>
    <w:p>
      <w:pPr>
        <w:spacing w:after="60" w:before="60"/>
      </w:pPr>
      <w:r>
        <w:rPr>
          <w:rFonts w:ascii="Courier New" w:cs="Courier New" w:eastAsia="Courier New" w:hAnsi="Courier New"/>
          <w:color w:val="1F3864"/>
          <w:sz w:val="16"/>
          <w:szCs w:val="16"/>
        </w:rPr>
        <w:t xml:space="preserve">-- Enable Query Store with recommended settings on each user database:
ALTER DATABASE [YourDatabase] SET QUERY_STORE = ON
  (OPERATION_MODE = READ_WRITE,
   CLEANUP_POLICY = (STALE_QUERY_THRESHOLD_DAYS = 30),
   DATA_FLUSH_INTERVAL_SECONDS = 900,
   MAX_STORAGE_SIZE_MB = 2048,
   QUERY_CAPTURE_MODE = AUTO,
   SIZE_BASED_CLEANUP_MODE = AUTO,
   MAX_PLANS_PER_QUERY = 200,
   WAIT_STATS_CAPTURE_MODE = ON);</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9.6  sp_configure — Key Instance-Level Parameters</w:t>
      </w:r>
    </w:p>
    <w:p>
      <w:pPr>
        <w:spacing w:after="100" w:before="60"/>
        <w:jc w:val="left"/>
      </w:pPr>
      <w:r>
        <w:rPr>
          <w:rFonts w:ascii="Arial" w:cs="Arial" w:eastAsia="Arial" w:hAnsi="Arial"/>
          <w:b w:val="false"/>
          <w:bCs w:val="false"/>
          <w:i w:val="false"/>
          <w:iCs w:val="false"/>
          <w:color w:val="000000"/>
          <w:sz w:val="20"/>
          <w:szCs w:val="20"/>
        </w:rPr>
        <w:t xml:space="preserve">The following sp_configure settings should be reviewed and applied on every new SQL Server 2022 and 2025 instance. SQL Server defaults are conservative and not optimised for production workloads. All changes require RECONFIGURE (or RECONFIGURE WITH OVERRIDE where noted) and some require a SQL Server service restart.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300"/>
        <w:gridCol w:w="4260"/>
      </w:tblGrid>
      <w:tr>
        <w:trPr>
          <w:tblHeader/>
        </w:trPr>
        <w:tc>
          <w:tcPr>
            <w:tcW w:type="dxa" w:w="26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Parameter</w:t>
            </w:r>
          </w:p>
        </w:tc>
        <w:tc>
          <w:tcPr>
            <w:tcW w:type="dxa" w:w="12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Default</w:t>
            </w:r>
          </w:p>
        </w:tc>
        <w:tc>
          <w:tcPr>
            <w:tcW w:type="dxa" w:w="13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Recommended</w:t>
            </w:r>
          </w:p>
        </w:tc>
        <w:tc>
          <w:tcPr>
            <w:tcW w:type="dxa" w:w="42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Notes &amp; Rationale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max server memory (MB)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2147483647</w:t>
            </w:r>
          </w:p>
        </w:tc>
        <w:tc>
          <w:tcPr>
            <w:tcW w:type="dxa" w:w="130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bCs/>
                <w:color w:val="7F6000"/>
                <w:sz w:val="18"/>
                <w:szCs w:val="18"/>
              </w:rPr>
              <w:t xml:space="preserve">See note</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Reserve 10% or 4GB for OS (whichever is greater). E.g. 64GB VM → set 57344. RESTART not required.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min server memory (MB)</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0</w:t>
            </w:r>
          </w:p>
        </w:tc>
        <w:tc>
          <w:tcPr>
            <w:tcW w:type="dxa" w:w="13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bCs/>
                <w:color w:val="595959"/>
                <w:sz w:val="18"/>
                <w:szCs w:val="18"/>
              </w:rPr>
              <w:t xml:space="preserve">0</w:t>
            </w:r>
          </w:p>
        </w:tc>
        <w:tc>
          <w:tcPr>
            <w:tcW w:type="dxa" w:w="4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Leave at 0 unless SQL is the sole service on the VM. Setting too high prevents memory from returning to OS.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lock pages in memory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0</w:t>
            </w:r>
          </w:p>
        </w:tc>
        <w:tc>
          <w:tcPr>
            <w:tcW w:type="dxa" w:w="130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1</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Prevents OS from paging the buffer pool. Requires Windows privilege 'Lock pages in memory' on the service account. Restart required.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max degree of parallelism</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0 (all)</w:t>
            </w:r>
          </w:p>
        </w:tc>
        <w:tc>
          <w:tcPr>
            <w:tcW w:type="dxa" w:w="130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bCs/>
                <w:color w:val="7F6000"/>
                <w:sz w:val="18"/>
                <w:szCs w:val="18"/>
              </w:rPr>
              <w:t xml:space="preserve">See note</w:t>
            </w:r>
          </w:p>
        </w:tc>
        <w:tc>
          <w:tcPr>
            <w:tcW w:type="dxa" w:w="4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Rule: set to number of physical cores per NUMA node, max 8. E.g. 16-core single NUMA → MAXDOP 8. Never leave at 0 on multi-core servers.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cost threshold for parallelism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5</w:t>
            </w:r>
          </w:p>
        </w:tc>
        <w:tc>
          <w:tcPr>
            <w:tcW w:type="dxa" w:w="130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50</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Default of 5 is extremely low — virtually every query goes parallel. 50 is a well-established starting point; tune upward for OLTP-heavy workloads (some shops use 25–75).</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max worker threads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0 (auto)</w:t>
            </w:r>
          </w:p>
        </w:tc>
        <w:tc>
          <w:tcPr>
            <w:tcW w:type="dxa" w:w="13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bCs/>
                <w:color w:val="595959"/>
                <w:sz w:val="18"/>
                <w:szCs w:val="18"/>
              </w:rPr>
              <w:t xml:space="preserve">0</w:t>
            </w:r>
          </w:p>
        </w:tc>
        <w:tc>
          <w:tcPr>
            <w:tcW w:type="dxa" w:w="4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Leave at 0 (auto-calculated). Only override if instructed by Microsoft support for a specific workload issue.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backup compression default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0</w:t>
            </w:r>
          </w:p>
        </w:tc>
        <w:tc>
          <w:tcPr>
            <w:tcW w:type="dxa" w:w="130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1</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Enable compression for all backups. Reduces backup size 50-70% and speeds backup duration. No downside for standard hardware.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recovery interval (min)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0 (auto)</w:t>
            </w:r>
          </w:p>
        </w:tc>
        <w:tc>
          <w:tcPr>
            <w:tcW w:type="dxa" w:w="13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bCs/>
                <w:color w:val="595959"/>
                <w:sz w:val="18"/>
                <w:szCs w:val="18"/>
              </w:rPr>
              <w:t xml:space="preserve">0</w:t>
            </w:r>
          </w:p>
        </w:tc>
        <w:tc>
          <w:tcPr>
            <w:tcW w:type="dxa" w:w="4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Leave at 0 (automatic checkpoint). Only change if checkpoint I/O is causing latency spikes on a specific workload.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fill factor (%)</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0 (100%)</w:t>
            </w:r>
          </w:p>
        </w:tc>
        <w:tc>
          <w:tcPr>
            <w:tcW w:type="dxa" w:w="130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bCs/>
                <w:color w:val="7F6000"/>
                <w:sz w:val="18"/>
                <w:szCs w:val="18"/>
              </w:rPr>
              <w:t xml:space="preserve">80–90</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80-90% is a common starting point for OLTP databases with frequent inserts/updates. Adjust per index based on fragmentation analysis.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optimize for ad hoc workloads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0</w:t>
            </w:r>
          </w:p>
        </w:tc>
        <w:tc>
          <w:tcPr>
            <w:tcW w:type="dxa" w:w="130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1</w:t>
            </w:r>
          </w:p>
        </w:tc>
        <w:tc>
          <w:tcPr>
            <w:tcW w:type="dxa" w:w="4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Stores a plan stub on first execution rather than a full plan, reducing plan cache bloat significantly. No downside — enable on all instances.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ad hoc distributed queries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0</w:t>
            </w:r>
          </w:p>
        </w:tc>
        <w:tc>
          <w:tcPr>
            <w:tcW w:type="dxa" w:w="13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bCs/>
                <w:color w:val="595959"/>
                <w:sz w:val="18"/>
                <w:szCs w:val="18"/>
              </w:rPr>
              <w:t xml:space="preserve">0</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Leave disabled unless OPENROWSET/OPENDATASOURCE is explicitly required. Security risk if enabled without governance.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xp_cmdshell</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0</w:t>
            </w:r>
          </w:p>
        </w:tc>
        <w:tc>
          <w:tcPr>
            <w:tcW w:type="dxa" w:w="13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bCs/>
                <w:color w:val="595959"/>
                <w:sz w:val="18"/>
                <w:szCs w:val="18"/>
              </w:rPr>
              <w:t xml:space="preserve">0</w:t>
            </w:r>
          </w:p>
        </w:tc>
        <w:tc>
          <w:tcPr>
            <w:tcW w:type="dxa" w:w="4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Must remain disabled on production servers. If any process requires xp_cmdshell, re-architect using SQL Agent CmdExec job steps instead.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remote query timeout (s)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600</w:t>
            </w:r>
          </w:p>
        </w:tc>
        <w:tc>
          <w:tcPr>
            <w:tcW w:type="dxa" w:w="130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bCs/>
                <w:color w:val="7F6000"/>
                <w:sz w:val="18"/>
                <w:szCs w:val="18"/>
              </w:rPr>
              <w:t xml:space="preserve">600</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10 minutes is reasonable for linked server queries. Reduce to 60-120 if linked server queries should never run long.</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remote login timeout (s)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10</w:t>
            </w:r>
          </w:p>
        </w:tc>
        <w:tc>
          <w:tcPr>
            <w:tcW w:type="dxa" w:w="130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30</w:t>
            </w:r>
          </w:p>
        </w:tc>
        <w:tc>
          <w:tcPr>
            <w:tcW w:type="dxa" w:w="4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Increase to 30 seconds to allow for WAN latency to linked servers or Azure SQL endpoints.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default language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us_english</w:t>
            </w:r>
          </w:p>
        </w:tc>
        <w:tc>
          <w:tcPr>
            <w:tcW w:type="dxa" w:w="130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bCs/>
                <w:color w:val="7F6000"/>
                <w:sz w:val="18"/>
                <w:szCs w:val="18"/>
              </w:rPr>
              <w:t xml:space="preserve">us_english</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Set to match the primary user locale. Affects date format parsing in T-SQL — important for international deployments.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clr enabled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0</w:t>
            </w:r>
          </w:p>
        </w:tc>
        <w:tc>
          <w:tcPr>
            <w:tcW w:type="dxa" w:w="13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bCs/>
                <w:color w:val="595959"/>
                <w:sz w:val="18"/>
                <w:szCs w:val="18"/>
              </w:rPr>
              <w:t xml:space="preserve">0</w:t>
            </w:r>
          </w:p>
        </w:tc>
        <w:tc>
          <w:tcPr>
            <w:tcW w:type="dxa" w:w="4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Enable only if CLR assemblies are explicitly required (e.g. SSIS catalog, custom CLR objects). Disable on all other instances.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clr strict security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1</w:t>
            </w:r>
          </w:p>
        </w:tc>
        <w:tc>
          <w:tcPr>
            <w:tcW w:type="dxa" w:w="130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1</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 2017+ default. Keep enabled — enforces code signing for CLR assemblies, preventing unsigned assembly execution.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contained database authentication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0</w:t>
            </w:r>
          </w:p>
        </w:tc>
        <w:tc>
          <w:tcPr>
            <w:tcW w:type="dxa" w:w="13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bCs/>
                <w:color w:val="595959"/>
                <w:sz w:val="18"/>
                <w:szCs w:val="18"/>
              </w:rPr>
              <w:t xml:space="preserve">0</w:t>
            </w:r>
          </w:p>
        </w:tc>
        <w:tc>
          <w:tcPr>
            <w:tcW w:type="dxa" w:w="4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Only enable if contained databases are in use. Leave disabled for standard instance-authenticated databases.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hardware offload enabled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0</w:t>
            </w:r>
          </w:p>
        </w:tc>
        <w:tc>
          <w:tcPr>
            <w:tcW w:type="dxa" w:w="130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bCs/>
                <w:color w:val="7F6000"/>
                <w:sz w:val="18"/>
                <w:szCs w:val="18"/>
              </w:rPr>
              <w:t xml:space="preserve">Optional</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 2022+: enables Intel QuickAssist Technology (QAT) hardware acceleration for backup compression. Enable only if supported hardware is present.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suppress recovery model errors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595959"/>
                <w:sz w:val="18"/>
                <w:szCs w:val="18"/>
              </w:rPr>
              <w:t xml:space="preserve">0</w:t>
            </w:r>
          </w:p>
        </w:tc>
        <w:tc>
          <w:tcPr>
            <w:tcW w:type="dxa" w:w="13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bCs/>
                <w:color w:val="595959"/>
                <w:sz w:val="18"/>
                <w:szCs w:val="18"/>
              </w:rPr>
              <w:t xml:space="preserve">0</w:t>
            </w:r>
          </w:p>
        </w:tc>
        <w:tc>
          <w:tcPr>
            <w:tcW w:type="dxa" w:w="4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Leave at default. Only relevant for specific HADR edge cases — do not change without Microsoft guidance.</w:t>
            </w:r>
          </w:p>
        </w:tc>
      </w:tr>
    </w:tbl>
    <w:p>
      <w:pPr>
        <w:spacing w:after="0" w:before="80"/>
      </w:pPr>
      <w:r>
        <w:t xml:space="preserve"/>
      </w:r>
    </w:p>
    <w:p>
      <w:pPr>
        <w:spacing w:after="100" w:before="60"/>
        <w:jc w:val="left"/>
      </w:pPr>
      <w:r>
        <w:rPr>
          <w:rFonts w:ascii="Arial" w:cs="Arial" w:eastAsia="Arial" w:hAnsi="Arial"/>
          <w:b/>
          <w:bCs/>
          <w:i w:val="false"/>
          <w:iCs w:val="false"/>
          <w:color w:val="1F3864"/>
          <w:sz w:val="20"/>
          <w:szCs w:val="20"/>
        </w:rPr>
        <w:t xml:space="preserve">MAXDOP Calculation Quick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Server Configuration</w:t>
            </w:r>
          </w:p>
        </w:tc>
        <w:tc>
          <w:tcPr>
            <w:tcW w:type="dxa" w:w="312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MAXDOP Setting</w:t>
            </w:r>
          </w:p>
        </w:tc>
        <w:tc>
          <w:tcPr>
            <w:tcW w:type="dxa" w:w="312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Cost Threshold Starting Point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Up to 8 physical cores, single NUMA</w:t>
            </w:r>
          </w:p>
        </w:tc>
        <w:tc>
          <w:tcPr>
            <w:tcW w:type="dxa" w:w="312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18"/>
                <w:szCs w:val="18"/>
              </w:rPr>
              <w:t xml:space="preserve">= physical core count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50</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More than 8 cores, single NUMA</w:t>
            </w:r>
          </w:p>
        </w:tc>
        <w:tc>
          <w:tcPr>
            <w:tcW w:type="dxa" w:w="3120"/>
            <w:tcBorders>
              <w:top w:val="single" w:color="CCCCCC" w:sz="4"/>
              <w:left w:val="single" w:color="CCCCCC" w:sz="4"/>
              <w:bottom w:val="single" w:color="CCCCCC" w:sz="4"/>
              <w:right w:val="single" w:color="CCCCCC" w:sz="4"/>
            </w:tcBorders>
            <w:shd w:fill="D9F0F0" w:val="clear"/>
            <w:tcMar>
              <w:top w:type="dxa" w:w="80"/>
              <w:left w:type="dxa" w:w="140"/>
              <w:bottom w:type="dxa" w:w="80"/>
              <w:right w:type="dxa" w:w="140"/>
            </w:tcMar>
            <w:vAlign w:val="center"/>
          </w:tcPr>
          <w:p>
            <w:pPr>
              <w:jc w:val="center"/>
            </w:pPr>
            <w:r>
              <w:rPr>
                <w:rFonts w:ascii="Arial" w:cs="Arial" w:eastAsia="Arial" w:hAnsi="Arial"/>
                <w:b/>
                <w:bCs/>
                <w:color w:val="1A5C5C"/>
                <w:sz w:val="18"/>
                <w:szCs w:val="18"/>
              </w:rPr>
              <w:t xml:space="preserve">8</w:t>
            </w:r>
          </w:p>
        </w:tc>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50</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More than 8 cores, multiple NUMA nodes</w:t>
            </w:r>
          </w:p>
        </w:tc>
        <w:tc>
          <w:tcPr>
            <w:tcW w:type="dxa" w:w="312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18"/>
                <w:szCs w:val="18"/>
              </w:rPr>
              <w:t xml:space="preserve">= cores per NUMA node (max 8)</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50</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Pure OLTP / high concurrency</w:t>
            </w:r>
          </w:p>
        </w:tc>
        <w:tc>
          <w:tcPr>
            <w:tcW w:type="dxa" w:w="3120"/>
            <w:tcBorders>
              <w:top w:val="single" w:color="CCCCCC" w:sz="4"/>
              <w:left w:val="single" w:color="CCCCCC" w:sz="4"/>
              <w:bottom w:val="single" w:color="CCCCCC" w:sz="4"/>
              <w:right w:val="single" w:color="CCCCCC" w:sz="4"/>
            </w:tcBorders>
            <w:shd w:fill="D9F0F0" w:val="clear"/>
            <w:tcMar>
              <w:top w:type="dxa" w:w="80"/>
              <w:left w:type="dxa" w:w="140"/>
              <w:bottom w:type="dxa" w:w="80"/>
              <w:right w:type="dxa" w:w="140"/>
            </w:tcMar>
            <w:vAlign w:val="center"/>
          </w:tcPr>
          <w:p>
            <w:pPr>
              <w:jc w:val="center"/>
            </w:pPr>
            <w:r>
              <w:rPr>
                <w:rFonts w:ascii="Arial" w:cs="Arial" w:eastAsia="Arial" w:hAnsi="Arial"/>
                <w:b/>
                <w:bCs/>
                <w:color w:val="1A5C5C"/>
                <w:sz w:val="18"/>
                <w:szCs w:val="18"/>
              </w:rPr>
              <w:t xml:space="preserve">4 or lower</w:t>
            </w:r>
          </w:p>
        </w:tc>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25–50</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Mixed OLAP/OLTP or reporting</w:t>
            </w:r>
          </w:p>
        </w:tc>
        <w:tc>
          <w:tcPr>
            <w:tcW w:type="dxa" w:w="312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18"/>
                <w:szCs w:val="18"/>
              </w:rPr>
              <w:t xml:space="preserve">8</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25</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Dedicated reporting / DWH instance</w:t>
            </w:r>
          </w:p>
        </w:tc>
        <w:tc>
          <w:tcPr>
            <w:tcW w:type="dxa" w:w="3120"/>
            <w:tcBorders>
              <w:top w:val="single" w:color="CCCCCC" w:sz="4"/>
              <w:left w:val="single" w:color="CCCCCC" w:sz="4"/>
              <w:bottom w:val="single" w:color="CCCCCC" w:sz="4"/>
              <w:right w:val="single" w:color="CCCCCC" w:sz="4"/>
            </w:tcBorders>
            <w:shd w:fill="D9F0F0" w:val="clear"/>
            <w:tcMar>
              <w:top w:type="dxa" w:w="80"/>
              <w:left w:type="dxa" w:w="140"/>
              <w:bottom w:type="dxa" w:w="80"/>
              <w:right w:type="dxa" w:w="140"/>
            </w:tcMar>
            <w:vAlign w:val="center"/>
          </w:tcPr>
          <w:p>
            <w:pPr>
              <w:jc w:val="center"/>
            </w:pPr>
            <w:r>
              <w:rPr>
                <w:rFonts w:ascii="Arial" w:cs="Arial" w:eastAsia="Arial" w:hAnsi="Arial"/>
                <w:b/>
                <w:bCs/>
                <w:color w:val="1A5C5C"/>
                <w:sz w:val="18"/>
                <w:szCs w:val="18"/>
              </w:rPr>
              <w:t xml:space="preserve">0 (unlimited) or core count</w:t>
            </w:r>
          </w:p>
        </w:tc>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5–25</w:t>
            </w:r>
          </w:p>
        </w:tc>
      </w:tr>
    </w:tbl>
    <w:p>
      <w:pPr>
        <w:spacing w:after="0" w:before="120"/>
      </w:pPr>
      <w:r>
        <w:t xml:space="preserve"/>
      </w:r>
    </w:p>
    <w:p>
      <w:pPr>
        <w:pStyle w:val="Heading2"/>
        <w:spacing w:after="80" w:before="240"/>
      </w:pPr>
      <w:r>
        <w:rPr>
          <w:rFonts w:ascii="Arial" w:cs="Arial" w:eastAsia="Arial" w:hAnsi="Arial"/>
          <w:b/>
          <w:bCs/>
          <w:color w:val="2E75B6"/>
          <w:sz w:val="22"/>
          <w:szCs w:val="22"/>
        </w:rPr>
        <w:t xml:space="preserve">9.7  TempDB — Recommended Build Configuration</w:t>
      </w:r>
    </w:p>
    <w:p>
      <w:pPr>
        <w:spacing w:after="100" w:before="60"/>
        <w:jc w:val="left"/>
      </w:pPr>
      <w:r>
        <w:rPr>
          <w:rFonts w:ascii="Arial" w:cs="Arial" w:eastAsia="Arial" w:hAnsi="Arial"/>
          <w:b w:val="false"/>
          <w:bCs w:val="false"/>
          <w:i w:val="false"/>
          <w:iCs w:val="false"/>
          <w:color w:val="000000"/>
          <w:sz w:val="20"/>
          <w:szCs w:val="20"/>
        </w:rPr>
        <w:t xml:space="preserve">TempDB configuration must be set explicitly on every new instance. Incorrect TempDB configuration is one of the most common causes of concurrency bottlenecks in SQL Server environments, particularly under concurrent workloads with table variables, temp tables, or sort operations.</w:t>
      </w:r>
    </w:p>
    <w:p>
      <w:pPr>
        <w:spacing w:after="0" w:before="60"/>
      </w:pPr>
      <w:r>
        <w:t xml:space="preserve"/>
      </w:r>
    </w:p>
    <w:p>
      <w:pPr>
        <w:spacing w:after="80" w:before="60"/>
      </w:pPr>
      <w:r>
        <w:rPr>
          <w:rFonts w:ascii="Courier New" w:cs="Courier New" w:eastAsia="Courier New" w:hAnsi="Courier New"/>
          <w:color w:val="1F3864"/>
          <w:sz w:val="15"/>
          <w:szCs w:val="15"/>
        </w:rPr>
        <w:t xml:space="preserve">-- Example TempDB reconfiguration script (adjust file count and paths for your environment)
-- Run after instance installation, before any workload is applied
USE master;
GO
-- Step 1: Set primary TempDB data file size and growth
ALTER DATABASE tempdb MODIFY FILE (NAME = tempdev, SIZE = 4096MB, FILEGROWTH = 512MB);
ALTER DATABASE tempdb MODIFY FILE (NAME = templog, SIZE = 1024MB, FILEGROWTH = 256MB);
-- Step 2: Add additional data files (one per logical core, up to 8)
-- Adjust file count and paths to match your server
ALTER DATABASE tempdb ADD FILE (NAME = tempdev2, FILENAME = 'D:\TempDB\tempdev2.ndf', SIZE = 4096MB, FILEGROWTH = 512MB);
ALTER DATABASE tempdb ADD FILE (NAME = tempdev3, FILENAME = 'D:\TempDB\tempdev3.ndf', SIZE = 4096MB, FILEGROWTH = 512MB);
ALTER DATABASE tempdb ADD FILE (NAME = tempdev4, FILENAME = 'D:\TempDB\tempdev4.ndf', SIZE = 4096MB, FILEGROWTH = 512MB);
-- Continue to match core count (max 8 files)
-- Step 3: Verify equal sizes (all data files MUST be equal for proportional fill to work)
SELECT name, size*8/1024 AS size_mb, growth*8/1024 AS growth_mb, is_percent_growth
FROM sys.master_files WHERE database_id = 2;</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9.8  Security Baseline — Post-Install Hardening</w:t>
      </w:r>
    </w:p>
    <w:p>
      <w:pPr>
        <w:spacing w:after="100" w:before="60"/>
        <w:jc w:val="left"/>
      </w:pPr>
      <w:r>
        <w:rPr>
          <w:rFonts w:ascii="Arial" w:cs="Arial" w:eastAsia="Arial" w:hAnsi="Arial"/>
          <w:b w:val="false"/>
          <w:bCs w:val="false"/>
          <w:i w:val="false"/>
          <w:iCs w:val="false"/>
          <w:color w:val="000000"/>
          <w:sz w:val="20"/>
          <w:szCs w:val="20"/>
        </w:rPr>
        <w:t xml:space="preserve">Every SQL Server instance should be hardened immediately after installation. The items below represent the minimum security baseline for a production SQL Server 2022 / 2025 deployment.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Security Control</w:t>
            </w:r>
          </w:p>
        </w:tc>
        <w:tc>
          <w:tcPr>
            <w:tcW w:type="dxa" w:w="12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c>
          <w:tcPr>
            <w:tcW w:type="dxa" w:w="51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Action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SA account</w:t>
            </w:r>
          </w:p>
        </w:tc>
        <w:tc>
          <w:tcPr>
            <w:tcW w:type="dxa" w:w="1200"/>
            <w:tcBorders>
              <w:top w:val="single" w:color="CCCCCC" w:sz="4"/>
              <w:left w:val="single" w:color="CCCCCC" w:sz="4"/>
              <w:bottom w:val="single" w:color="CCCCCC" w:sz="4"/>
              <w:right w:val="single" w:color="CCCCCC" w:sz="4"/>
            </w:tcBorders>
            <w:shd w:fill="FCE4D6" w:val="clear"/>
            <w:tcMar>
              <w:top w:type="dxa" w:w="80"/>
              <w:left w:type="dxa" w:w="80"/>
              <w:bottom w:type="dxa" w:w="80"/>
              <w:right w:type="dxa" w:w="80"/>
            </w:tcMar>
            <w:vAlign w:val="center"/>
          </w:tcPr>
          <w:p>
            <w:pPr>
              <w:jc w:val="center"/>
            </w:pPr>
            <w:r>
              <w:rPr>
                <w:rFonts w:ascii="Arial" w:cs="Arial" w:eastAsia="Arial" w:hAnsi="Arial"/>
                <w:b/>
                <w:bCs/>
                <w:color w:val="843C0C"/>
                <w:sz w:val="16"/>
                <w:szCs w:val="16"/>
              </w:rPr>
              <w:t xml:space="preserve">Critical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Rename or disable the 'sa' account. If mixed mode auth is required, create a named DBA account instead of using sa.</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Authentication mode</w:t>
            </w:r>
          </w:p>
        </w:tc>
        <w:tc>
          <w:tcPr>
            <w:tcW w:type="dxa" w:w="1200"/>
            <w:tcBorders>
              <w:top w:val="single" w:color="CCCCCC" w:sz="4"/>
              <w:left w:val="single" w:color="CCCCCC" w:sz="4"/>
              <w:bottom w:val="single" w:color="CCCCCC" w:sz="4"/>
              <w:right w:val="single" w:color="CCCCCC" w:sz="4"/>
            </w:tcBorders>
            <w:shd w:fill="FCE4D6" w:val="clear"/>
            <w:tcMar>
              <w:top w:type="dxa" w:w="80"/>
              <w:left w:type="dxa" w:w="80"/>
              <w:bottom w:type="dxa" w:w="80"/>
              <w:right w:type="dxa" w:w="80"/>
            </w:tcMar>
            <w:vAlign w:val="center"/>
          </w:tcPr>
          <w:p>
            <w:pPr>
              <w:jc w:val="center"/>
            </w:pPr>
            <w:r>
              <w:rPr>
                <w:rFonts w:ascii="Arial" w:cs="Arial" w:eastAsia="Arial" w:hAnsi="Arial"/>
                <w:b/>
                <w:bCs/>
                <w:color w:val="843C0C"/>
                <w:sz w:val="16"/>
                <w:szCs w:val="16"/>
              </w:rPr>
              <w:t xml:space="preserve">Critical</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Use Windows Authentication only (recommended). If SQL Auth is required, enforce strong password policy and expiry.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Unused endpoints</w:t>
            </w:r>
          </w:p>
        </w:tc>
        <w:tc>
          <w:tcPr>
            <w:tcW w:type="dxa" w:w="120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bCs/>
                <w:color w:val="7F6000"/>
                <w:sz w:val="16"/>
                <w:szCs w:val="16"/>
              </w:rPr>
              <w:t xml:space="preserve">High</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DROP any unused database mirroring endpoints. Only the AG endpoint should exist on AG nodes.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Surface Area Configuration</w:t>
            </w:r>
          </w:p>
        </w:tc>
        <w:tc>
          <w:tcPr>
            <w:tcW w:type="dxa" w:w="120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bCs/>
                <w:color w:val="7F6000"/>
                <w:sz w:val="16"/>
                <w:szCs w:val="16"/>
              </w:rPr>
              <w:t xml:space="preserve">High</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Disable: xp_cmdshell, OLE Automation Procedures, ad hoc distributed queries, CLR (if not needed). Use sp_configure or SSMS Surface Area Configuration.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 Server port</w:t>
            </w:r>
          </w:p>
        </w:tc>
        <w:tc>
          <w:tcPr>
            <w:tcW w:type="dxa" w:w="120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bCs/>
                <w:color w:val="7F6000"/>
                <w:sz w:val="16"/>
                <w:szCs w:val="16"/>
              </w:rPr>
              <w:t xml:space="preserve">High</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If high-value target, consider non-standard TCP port. Update firewall rules. Update connection strings and AG Listener config accordingly.</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Transparent Data Encryption (TDE)</w:t>
            </w:r>
          </w:p>
        </w:tc>
        <w:tc>
          <w:tcPr>
            <w:tcW w:type="dxa" w:w="120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bCs/>
                <w:color w:val="7F6000"/>
                <w:sz w:val="16"/>
                <w:szCs w:val="16"/>
              </w:rPr>
              <w:t xml:space="preserve">High</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Enable TDE on all production databases containing sensitive or regulated data. Store the certificate and private key backup in a separate secure location.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Audit Logins</w:t>
            </w:r>
          </w:p>
        </w:tc>
        <w:tc>
          <w:tcPr>
            <w:tcW w:type="dxa" w:w="1200"/>
            <w:tcBorders>
              <w:top w:val="single" w:color="CCCCCC" w:sz="4"/>
              <w:left w:val="single" w:color="CCCCCC" w:sz="4"/>
              <w:bottom w:val="single" w:color="CCCCCC" w:sz="4"/>
              <w:right w:val="single" w:color="CCCCCC" w:sz="4"/>
            </w:tcBorders>
            <w:shd w:fill="D5E3F0"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Medium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Enable SQL Server Audit for failed and successful logins. Write audit to Windows Security Event Log or a dedicated audit file share.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Principle of Least Privilege</w:t>
            </w:r>
          </w:p>
        </w:tc>
        <w:tc>
          <w:tcPr>
            <w:tcW w:type="dxa" w:w="1200"/>
            <w:tcBorders>
              <w:top w:val="single" w:color="CCCCCC" w:sz="4"/>
              <w:left w:val="single" w:color="CCCCCC" w:sz="4"/>
              <w:bottom w:val="single" w:color="CCCCCC" w:sz="4"/>
              <w:right w:val="single" w:color="CCCCCC" w:sz="4"/>
            </w:tcBorders>
            <w:shd w:fill="FFF2CC" w:val="clear"/>
            <w:tcMar>
              <w:top w:type="dxa" w:w="80"/>
              <w:left w:type="dxa" w:w="80"/>
              <w:bottom w:type="dxa" w:w="80"/>
              <w:right w:type="dxa" w:w="80"/>
            </w:tcMar>
            <w:vAlign w:val="center"/>
          </w:tcPr>
          <w:p>
            <w:pPr>
              <w:jc w:val="center"/>
            </w:pPr>
            <w:r>
              <w:rPr>
                <w:rFonts w:ascii="Arial" w:cs="Arial" w:eastAsia="Arial" w:hAnsi="Arial"/>
                <w:b/>
                <w:bCs/>
                <w:color w:val="7F6000"/>
                <w:sz w:val="16"/>
                <w:szCs w:val="16"/>
              </w:rPr>
              <w:t xml:space="preserve">High</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Application service accounts should be db_datareader + db_datawriter + EXECUTE only. No sysadmin for application logins. Review all role memberships.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 Server 2022 Ledger</w:t>
            </w:r>
          </w:p>
        </w:tc>
        <w:tc>
          <w:tcPr>
            <w:tcW w:type="dxa" w:w="1200"/>
            <w:tcBorders>
              <w:top w:val="single" w:color="CCCCCC" w:sz="4"/>
              <w:left w:val="single" w:color="CCCCCC" w:sz="4"/>
              <w:bottom w:val="single" w:color="CCCCCC" w:sz="4"/>
              <w:right w:val="single" w:color="CCCCCC" w:sz="4"/>
            </w:tcBorders>
            <w:shd w:fill="D5E3F0"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Medium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Enable Ledger on tables containing audit-critical data (financial records, configuration changes). Provides cryptographic tamper-evidence without third-party tooling.</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Always Encrypted</w:t>
            </w:r>
          </w:p>
        </w:tc>
        <w:tc>
          <w:tcPr>
            <w:tcW w:type="dxa" w:w="1200"/>
            <w:tcBorders>
              <w:top w:val="single" w:color="CCCCCC" w:sz="4"/>
              <w:left w:val="single" w:color="CCCCCC" w:sz="4"/>
              <w:bottom w:val="single" w:color="CCCCCC" w:sz="4"/>
              <w:right w:val="single" w:color="CCCCCC" w:sz="4"/>
            </w:tcBorders>
            <w:shd w:fill="D5E3F0"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Medium</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For columns containing PII or regulated data (NI numbers, card data), evaluate Always Encrypted. SQL 2022 supports secure enclaves for rich query support on encrypted columns.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Certificate expiry</w:t>
            </w:r>
          </w:p>
        </w:tc>
        <w:tc>
          <w:tcPr>
            <w:tcW w:type="dxa" w:w="1200"/>
            <w:tcBorders>
              <w:top w:val="single" w:color="CCCCCC" w:sz="4"/>
              <w:left w:val="single" w:color="CCCCCC" w:sz="4"/>
              <w:bottom w:val="single" w:color="CCCCCC" w:sz="4"/>
              <w:right w:val="single" w:color="CCCCCC" w:sz="4"/>
            </w:tcBorders>
            <w:shd w:fill="D5E3F0"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Medium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Audit all server certificates, TDE certificates, and AG endpoint certificates. Set calendar reminders for renewal 60 days before expiry.</w:t>
            </w:r>
          </w:p>
        </w:tc>
      </w:tr>
    </w:tbl>
    <w:p>
      <w:pPr>
        <w:spacing w:after="0" w:before="120"/>
      </w:pPr>
      <w:r>
        <w:t xml:space="preserve"/>
      </w:r>
    </w:p>
    <w:p>
      <w:pPr>
        <w:pStyle w:val="Heading2"/>
        <w:spacing w:after="80" w:before="240"/>
      </w:pPr>
      <w:r>
        <w:rPr>
          <w:rFonts w:ascii="Arial" w:cs="Arial" w:eastAsia="Arial" w:hAnsi="Arial"/>
          <w:b/>
          <w:bCs/>
          <w:color w:val="2E75B6"/>
          <w:sz w:val="22"/>
          <w:szCs w:val="22"/>
        </w:rPr>
        <w:t xml:space="preserve">9.9  SQL Server 2025 — Additional Configuration Items</w:t>
      </w:r>
    </w:p>
    <w:p>
      <w:pPr>
        <w:spacing w:after="100" w:before="60"/>
        <w:jc w:val="left"/>
      </w:pPr>
      <w:r>
        <w:rPr>
          <w:rFonts w:ascii="Arial" w:cs="Arial" w:eastAsia="Arial" w:hAnsi="Arial"/>
          <w:b w:val="false"/>
          <w:bCs w:val="false"/>
          <w:i w:val="false"/>
          <w:iCs w:val="false"/>
          <w:color w:val="000000"/>
          <w:sz w:val="20"/>
          <w:szCs w:val="20"/>
        </w:rPr>
        <w:t xml:space="preserve">SQL Server 2025 (anticipated release) introduces additional configuration options beyond SQL 2022. The items below should be added to the build checklist when deploying SQL 2025 instances. All SQL 2022 settings above also apply.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SQL 2025 Configuration Item</w:t>
            </w:r>
          </w:p>
        </w:tc>
        <w:tc>
          <w:tcPr>
            <w:tcW w:type="dxa" w:w="63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Notes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Native Vector Data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Configure vector column dimensions appropriate for your embedding model (e.g. 1536 dimensions for OpenAI text-embedding-ada-002). Plan storage: each vector value is 4 bytes × dimensions.</w:t>
            </w:r>
          </w:p>
        </w:tc>
      </w:tr>
      <w:tr>
        <w:tc>
          <w:tcPr>
            <w:tcW w:type="dxa" w:w="30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vAlign w:val="center"/>
          </w:tcPr>
          <w:p>
            <w:pPr>
              <w:jc w:val="left"/>
            </w:pPr>
            <w:r>
              <w:rPr>
                <w:rFonts w:ascii="Arial" w:cs="Arial" w:eastAsia="Arial" w:hAnsi="Arial"/>
                <w:b/>
                <w:bCs/>
                <w:color w:val="4B1C82"/>
                <w:sz w:val="18"/>
                <w:szCs w:val="18"/>
              </w:rPr>
              <w:t xml:space="preserve">Vector Similarity Search Index</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Create vector indexes using CREATE VECTOR INDEX syntax (anticipated). Choose cosine, Euclidean, or dot product distance metric appropriate for your embedding model.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AI Model Integration (sp_invoke_external_endpoint)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Configure external endpoint access to Azure OpenAI or local ONNX models. Requires outbound network access from SQL Server host — review firewall rules.</w:t>
            </w:r>
          </w:p>
        </w:tc>
      </w:tr>
      <w:tr>
        <w:tc>
          <w:tcPr>
            <w:tcW w:type="dxa" w:w="30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vAlign w:val="center"/>
          </w:tcPr>
          <w:p>
            <w:pPr>
              <w:jc w:val="left"/>
            </w:pPr>
            <w:r>
              <w:rPr>
                <w:rFonts w:ascii="Arial" w:cs="Arial" w:eastAsia="Arial" w:hAnsi="Arial"/>
                <w:b/>
                <w:bCs/>
                <w:color w:val="4B1C82"/>
                <w:sz w:val="18"/>
                <w:szCs w:val="18"/>
              </w:rPr>
              <w:t xml:space="preserve">Query Store for Secondary (enhanced)</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 2025 is expected to further enhance Query Store on AG secondaries. Validate secondary Query Store is capturing read-only workloads independently of the primary.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Compatibility Level 170</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 2025 will introduce compatibility level 170. Follow the same incremental upgrade path: deploy at 160 (SQL 2022 compat), validate, then raise to 170 after performance baseline confirmed.</w:t>
            </w:r>
          </w:p>
        </w:tc>
      </w:tr>
      <w:tr>
        <w:tc>
          <w:tcPr>
            <w:tcW w:type="dxa" w:w="30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vAlign w:val="center"/>
          </w:tcPr>
          <w:p>
            <w:pPr>
              <w:jc w:val="left"/>
            </w:pPr>
            <w:r>
              <w:rPr>
                <w:rFonts w:ascii="Arial" w:cs="Arial" w:eastAsia="Arial" w:hAnsi="Arial"/>
                <w:b/>
                <w:bCs/>
                <w:color w:val="4B1C82"/>
                <w:sz w:val="18"/>
                <w:szCs w:val="18"/>
              </w:rPr>
              <w:t xml:space="preserve">Enhanced Intelligent Query Processing</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 2025 extends IQP with additional cardinality estimation feedback and DOP feedback improvements. Monitor sys.query_store_plan_feedback after raising compat level.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Azure Arc Enhanced Management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 2025 deepens Azure Arc integration. Configure Arc agent post-install to enable Microsoft Defender for SQL, Azure Monitor, and policy-based configuration management from the Azure portal.</w:t>
            </w:r>
          </w:p>
        </w:tc>
      </w:tr>
    </w:tbl>
    <w:p>
      <w:pPr>
        <w:spacing w:after="0" w:before="80"/>
      </w:pPr>
      <w:r>
        <w:t xml:space="preserve"/>
      </w:r>
    </w:p>
    <w:p>
      <w:pPr>
        <w:spacing w:after="100" w:before="60"/>
        <w:jc w:val="left"/>
      </w:pPr>
      <w:r>
        <w:rPr>
          <w:rFonts w:ascii="Arial" w:cs="Arial" w:eastAsia="Arial" w:hAnsi="Arial"/>
          <w:b w:val="false"/>
          <w:bCs w:val="false"/>
          <w:i/>
          <w:iCs/>
          <w:color w:val="595959"/>
          <w:sz w:val="20"/>
          <w:szCs w:val="20"/>
        </w:rPr>
        <w:t xml:space="preserve">SQL Server 2025 availability: as of the document date SQL Server 2025 is in preview. Target production deployment only after General Availability and a minimum of 2 Cumulative Updates have been released. Monitor docs.microsoft.com/sql/sql-server for release timelines.</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10  Rollback Strategy</w:t>
      </w:r>
    </w:p>
    <w:p>
      <w:pPr>
        <w:spacing w:after="100" w:before="60"/>
        <w:jc w:val="left"/>
      </w:pPr>
      <w:r>
        <w:rPr>
          <w:rFonts w:ascii="Arial" w:cs="Arial" w:eastAsia="Arial" w:hAnsi="Arial"/>
          <w:b w:val="false"/>
          <w:bCs w:val="false"/>
          <w:i w:val="false"/>
          <w:iCs w:val="false"/>
          <w:color w:val="000000"/>
          <w:sz w:val="20"/>
          <w:szCs w:val="20"/>
        </w:rPr>
        <w:t xml:space="preserve">A rollback plan is mandatory for every production migration window:</w:t>
      </w:r>
    </w:p>
    <w:p>
      <w:pPr>
        <w:spacing w:after="0" w:before="60"/>
      </w:pPr>
      <w:r>
        <w:t xml:space="preserve"/>
      </w:r>
    </w:p>
    <w:p>
      <w:pPr>
        <w:spacing w:after="100" w:before="60"/>
        <w:jc w:val="left"/>
      </w:pPr>
      <w:r>
        <w:rPr>
          <w:rFonts w:ascii="Arial" w:cs="Arial" w:eastAsia="Arial" w:hAnsi="Arial"/>
          <w:b w:val="false"/>
          <w:bCs w:val="false"/>
          <w:i w:val="false"/>
          <w:iCs w:val="false"/>
          <w:color w:val="595959"/>
          <w:sz w:val="20"/>
          <w:szCs w:val="20"/>
        </w:rPr>
        <w:t xml:space="preserve">1.  Full verified database backups will be taken immediately before each migration and retained for a minimum of 30 days.</w:t>
      </w:r>
    </w:p>
    <w:p>
      <w:pPr>
        <w:spacing w:after="100" w:before="60"/>
        <w:jc w:val="left"/>
      </w:pPr>
      <w:r>
        <w:rPr>
          <w:rFonts w:ascii="Arial" w:cs="Arial" w:eastAsia="Arial" w:hAnsi="Arial"/>
          <w:b w:val="false"/>
          <w:bCs w:val="false"/>
          <w:i w:val="false"/>
          <w:iCs w:val="false"/>
          <w:color w:val="595959"/>
          <w:sz w:val="20"/>
          <w:szCs w:val="20"/>
        </w:rPr>
        <w:t xml:space="preserve">2.  Source SQL Server 2016 instances will remain online but disconnected from application traffic during the migration window.</w:t>
      </w:r>
    </w:p>
    <w:p>
      <w:pPr>
        <w:spacing w:after="100" w:before="60"/>
        <w:jc w:val="left"/>
      </w:pPr>
      <w:r>
        <w:rPr>
          <w:rFonts w:ascii="Arial" w:cs="Arial" w:eastAsia="Arial" w:hAnsi="Arial"/>
          <w:b w:val="false"/>
          <w:bCs w:val="false"/>
          <w:i w:val="false"/>
          <w:iCs w:val="false"/>
          <w:color w:val="595959"/>
          <w:sz w:val="20"/>
          <w:szCs w:val="20"/>
        </w:rPr>
        <w:t xml:space="preserve">3.  If critical issues are detected within the agreed validation window (typically 2 hours post-cutover), traffic will be reverted to the source instance within 15 minutes.</w:t>
      </w:r>
    </w:p>
    <w:p>
      <w:pPr>
        <w:spacing w:after="100" w:before="60"/>
        <w:jc w:val="left"/>
      </w:pPr>
      <w:r>
        <w:rPr>
          <w:rFonts w:ascii="Arial" w:cs="Arial" w:eastAsia="Arial" w:hAnsi="Arial"/>
          <w:b w:val="false"/>
          <w:bCs w:val="false"/>
          <w:i w:val="false"/>
          <w:iCs w:val="false"/>
          <w:color w:val="595959"/>
          <w:sz w:val="20"/>
          <w:szCs w:val="20"/>
        </w:rPr>
        <w:t xml:space="preserve">4.  Full rollback must be approved by the Lead DBA and Project Manager before execution.</w:t>
      </w:r>
    </w:p>
    <w:p>
      <w:pPr>
        <w:spacing w:after="100" w:before="60"/>
        <w:jc w:val="left"/>
      </w:pPr>
      <w:r>
        <w:rPr>
          <w:rFonts w:ascii="Arial" w:cs="Arial" w:eastAsia="Arial" w:hAnsi="Arial"/>
          <w:b w:val="false"/>
          <w:bCs w:val="false"/>
          <w:i w:val="false"/>
          <w:iCs w:val="false"/>
          <w:color w:val="595959"/>
          <w:sz w:val="20"/>
          <w:szCs w:val="20"/>
        </w:rPr>
        <w:t xml:space="preserve">5.  Source instances will only be decommissioned following a minimum 30-day stabilisation period.</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11  Future Development &amp; Technology Roadmap</w:t>
      </w:r>
    </w:p>
    <w:p>
      <w:pPr>
        <w:spacing w:after="100" w:before="60"/>
        <w:jc w:val="left"/>
      </w:pPr>
      <w:r>
        <w:rPr>
          <w:rFonts w:ascii="Arial" w:cs="Arial" w:eastAsia="Arial" w:hAnsi="Arial"/>
          <w:b w:val="false"/>
          <w:bCs w:val="false"/>
          <w:i w:val="false"/>
          <w:iCs w:val="false"/>
          <w:color w:val="000000"/>
          <w:sz w:val="20"/>
          <w:szCs w:val="20"/>
        </w:rPr>
        <w:t xml:space="preserve">The SQL Server 2022 upgrade establishes a modern, supported platform that unlocks a series of strategic technology opportunities. The initiatives below represent the recommended next phase of development, spanning platform evolution, artificial intelligence integration, vector database capabilities, and storage modernisation.</w:t>
      </w:r>
    </w:p>
    <w:p>
      <w:pPr>
        <w:spacing w:after="0" w:before="80"/>
      </w:pPr>
      <w:r>
        <w:t xml:space="preserve"/>
      </w:r>
    </w:p>
    <w:p>
      <w:pPr>
        <w:pStyle w:val="Heading2"/>
        <w:spacing w:after="80" w:before="240"/>
      </w:pPr>
      <w:r>
        <w:rPr>
          <w:rFonts w:ascii="Arial" w:cs="Arial" w:eastAsia="Arial" w:hAnsi="Arial"/>
          <w:b/>
          <w:bCs/>
          <w:color w:val="2E75B6"/>
          <w:sz w:val="22"/>
          <w:szCs w:val="22"/>
        </w:rPr>
        <w:t xml:space="preserve">11.1  Strategic Roadmap Overview</w:t>
      </w:r>
    </w:p>
    <w:p>
      <w:pPr>
        <w:spacing w:after="100" w:before="60"/>
        <w:jc w:val="left"/>
      </w:pPr>
      <w:r>
        <w:rPr>
          <w:rFonts w:ascii="Arial" w:cs="Arial" w:eastAsia="Arial" w:hAnsi="Arial"/>
          <w:b w:val="false"/>
          <w:bCs w:val="false"/>
          <w:i w:val="false"/>
          <w:iCs w:val="false"/>
          <w:color w:val="000000"/>
          <w:sz w:val="20"/>
          <w:szCs w:val="20"/>
        </w:rPr>
        <w:t xml:space="preserve">These initiatives are sequenced to build on each other: storage improvements maximise SQL 2022 performance immediately; AI and vector capabilities position the organisation for next-generation workloads; and SQL Server 2025 provides the long-term platform foundation for all of the above.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900"/>
        <w:gridCol w:w="3360"/>
      </w:tblGrid>
      <w:tr>
        <w:trPr>
          <w:tblHeader/>
        </w:trPr>
        <w:tc>
          <w:tcPr>
            <w:tcW w:type="dxa" w:w="24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Initiative</w:t>
            </w:r>
          </w:p>
        </w:tc>
        <w:tc>
          <w:tcPr>
            <w:tcW w:type="dxa" w:w="18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Category</w:t>
            </w:r>
          </w:p>
        </w:tc>
        <w:tc>
          <w:tcPr>
            <w:tcW w:type="dxa" w:w="9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Timeline</w:t>
            </w:r>
          </w:p>
        </w:tc>
        <w:tc>
          <w:tcPr>
            <w:tcW w:type="dxa" w:w="9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c>
          <w:tcPr>
            <w:tcW w:type="dxa" w:w="33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 &amp; Business Benefit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SQL Server 2025 Upgrade</w:t>
            </w:r>
          </w:p>
        </w:tc>
        <w:tc>
          <w:tcPr>
            <w:tcW w:type="dxa" w:w="1800"/>
            <w:tcBorders>
              <w:top w:val="single" w:color="CCCCCC" w:sz="4"/>
              <w:left w:val="single" w:color="CCCCCC" w:sz="4"/>
              <w:bottom w:val="single" w:color="CCCCCC" w:sz="4"/>
              <w:right w:val="single" w:color="CCCCCC" w:sz="4"/>
            </w:tcBorders>
            <w:shd w:fill="D5E3F0" w:val="clear"/>
            <w:tcMar>
              <w:top w:type="dxa" w:w="80"/>
              <w:left w:type="dxa" w:w="140"/>
              <w:bottom w:type="dxa" w:w="80"/>
              <w:right w:type="dxa" w:w="140"/>
            </w:tcMar>
            <w:vAlign w:val="center"/>
          </w:tcPr>
          <w:p>
            <w:pPr>
              <w:jc w:val="center"/>
            </w:pPr>
            <w:r>
              <w:rPr>
                <w:rFonts w:ascii="Arial" w:cs="Arial" w:eastAsia="Arial" w:hAnsi="Arial"/>
                <w:b/>
                <w:bCs/>
                <w:color w:val="1F3864"/>
                <w:sz w:val="16"/>
                <w:szCs w:val="16"/>
              </w:rPr>
              <w:t xml:space="preserve">SQL Platform</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H1 2027</w:t>
            </w:r>
          </w:p>
        </w:tc>
        <w:tc>
          <w:tcPr>
            <w:tcW w:type="dxa" w:w="9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6"/>
                <w:szCs w:val="16"/>
              </w:rPr>
              <w:t xml:space="preserve">High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 Server 2025 is expected to deliver further intelligent query processing, enhanced JSON support, and deeper Azure Arc integration. Plan upgrade pathway from 2022 once GA and stabilised.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AI-Powered Query Intelligence</w:t>
            </w:r>
          </w:p>
        </w:tc>
        <w:tc>
          <w:tcPr>
            <w:tcW w:type="dxa" w:w="18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vAlign w:val="center"/>
          </w:tcPr>
          <w:p>
            <w:pPr>
              <w:jc w:val="center"/>
            </w:pPr>
            <w:r>
              <w:rPr>
                <w:rFonts w:ascii="Arial" w:cs="Arial" w:eastAsia="Arial" w:hAnsi="Arial"/>
                <w:b/>
                <w:bCs/>
                <w:color w:val="4B1C82"/>
                <w:sz w:val="16"/>
                <w:szCs w:val="16"/>
              </w:rPr>
              <w:t xml:space="preserve">AI / ML</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H2 2026</w:t>
            </w:r>
          </w:p>
        </w:tc>
        <w:tc>
          <w:tcPr>
            <w:tcW w:type="dxa" w:w="9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6"/>
                <w:szCs w:val="16"/>
              </w:rPr>
              <w:t xml:space="preserve">High</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 Server 2022 introduces Azure Synapse Link and supports external ML models via ONNX. Explore in-database AI inferencing to support predictive analytics without data movement.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Vector Database &amp; Semantic Search</w:t>
            </w:r>
          </w:p>
        </w:tc>
        <w:tc>
          <w:tcPr>
            <w:tcW w:type="dxa" w:w="1800"/>
            <w:tcBorders>
              <w:top w:val="single" w:color="CCCCCC" w:sz="4"/>
              <w:left w:val="single" w:color="CCCCCC" w:sz="4"/>
              <w:bottom w:val="single" w:color="CCCCCC" w:sz="4"/>
              <w:right w:val="single" w:color="CCCCCC" w:sz="4"/>
            </w:tcBorders>
            <w:shd w:fill="D9F0F0" w:val="clear"/>
            <w:tcMar>
              <w:top w:type="dxa" w:w="80"/>
              <w:left w:type="dxa" w:w="140"/>
              <w:bottom w:type="dxa" w:w="80"/>
              <w:right w:type="dxa" w:w="140"/>
            </w:tcMar>
            <w:vAlign w:val="center"/>
          </w:tcPr>
          <w:p>
            <w:pPr>
              <w:jc w:val="center"/>
            </w:pPr>
            <w:r>
              <w:rPr>
                <w:rFonts w:ascii="Arial" w:cs="Arial" w:eastAsia="Arial" w:hAnsi="Arial"/>
                <w:b/>
                <w:bCs/>
                <w:color w:val="1A5C5C"/>
                <w:sz w:val="16"/>
                <w:szCs w:val="16"/>
              </w:rPr>
              <w:t xml:space="preserve">Vector DB</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H1 2027</w:t>
            </w:r>
          </w:p>
        </w:tc>
        <w:tc>
          <w:tcPr>
            <w:tcW w:type="dxa" w:w="9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center"/>
            </w:pPr>
            <w:r>
              <w:rPr>
                <w:rFonts w:ascii="Arial" w:cs="Arial" w:eastAsia="Arial" w:hAnsi="Arial"/>
                <w:b/>
                <w:bCs/>
                <w:color w:val="843C0C"/>
                <w:sz w:val="16"/>
                <w:szCs w:val="16"/>
              </w:rPr>
              <w:t xml:space="preserve">High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 Server 2025 is expected to include native vector data type and vector similarity search. Enables semantic/AI search, RAG (Retrieval-Augmented Generation) patterns, and embedding storage directly in SQL Server.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Azure AI Integration (Azure OpenAI)</w:t>
            </w:r>
          </w:p>
        </w:tc>
        <w:tc>
          <w:tcPr>
            <w:tcW w:type="dxa" w:w="18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vAlign w:val="center"/>
          </w:tcPr>
          <w:p>
            <w:pPr>
              <w:jc w:val="center"/>
            </w:pPr>
            <w:r>
              <w:rPr>
                <w:rFonts w:ascii="Arial" w:cs="Arial" w:eastAsia="Arial" w:hAnsi="Arial"/>
                <w:b/>
                <w:bCs/>
                <w:color w:val="4B1C82"/>
                <w:sz w:val="16"/>
                <w:szCs w:val="16"/>
              </w:rPr>
              <w:t xml:space="preserve">AI / ML</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H2 2026</w:t>
            </w:r>
          </w:p>
        </w:tc>
        <w:tc>
          <w:tcPr>
            <w:tcW w:type="dxa" w:w="9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6"/>
                <w:szCs w:val="16"/>
              </w:rPr>
              <w:t xml:space="preserve">Medium</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Integrate Azure OpenAI services with the SQL estate to enable natural language to SQL querying, AI-assisted data insights, and co-pilot capabilities for internal business users.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NVMe / All-Flash Storage Tier</w:t>
            </w:r>
          </w:p>
        </w:tc>
        <w:tc>
          <w:tcPr>
            <w:tcW w:type="dxa" w:w="18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16"/>
                <w:szCs w:val="16"/>
              </w:rPr>
              <w:t xml:space="preserve">Storage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H2 2026</w:t>
            </w:r>
          </w:p>
        </w:tc>
        <w:tc>
          <w:tcPr>
            <w:tcW w:type="dxa" w:w="9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6"/>
                <w:szCs w:val="16"/>
              </w:rPr>
              <w:t xml:space="preserve">Medium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Migrate SQL Server data and log volumes to NVMe-backed all-flash storage arrays. Expected I/O latency improvement of 60-80% for OLTP workloads, directly benefiting production query response times.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Storage Tiering &amp; Intelligent Caching</w:t>
            </w:r>
          </w:p>
        </w:tc>
        <w:tc>
          <w:tcPr>
            <w:tcW w:type="dxa" w:w="18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16"/>
                <w:szCs w:val="16"/>
              </w:rPr>
              <w:t xml:space="preserve">Storage</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H1 2027</w:t>
            </w:r>
          </w:p>
        </w:tc>
        <w:tc>
          <w:tcPr>
            <w:tcW w:type="dxa" w:w="9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6"/>
                <w:szCs w:val="16"/>
              </w:rPr>
              <w:t xml:space="preserve">Medium</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Implement automated storage tiering (hot/warm/cold) for large databases. Use SQL Server Buffer Pool Extension or OS-level tiering to manage cost vs. performance of growing datasets.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Stretch Database / Cold Archive Strategy</w:t>
            </w:r>
          </w:p>
        </w:tc>
        <w:tc>
          <w:tcPr>
            <w:tcW w:type="dxa" w:w="18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16"/>
                <w:szCs w:val="16"/>
              </w:rPr>
              <w:t xml:space="preserve">Storage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H1 2027</w:t>
            </w:r>
          </w:p>
        </w:tc>
        <w:tc>
          <w:tcPr>
            <w:tcW w:type="dxa" w:w="9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16"/>
                <w:szCs w:val="16"/>
              </w:rPr>
              <w:t xml:space="preserve">Low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Evaluate Azure SQL stretch or Polybase external tables to offload historical data to low-cost Azure Blob storage, reducing on-premises storage footprint by an estimated 30-40%.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Microsoft Fabric / Synapse Analytics</w:t>
            </w:r>
          </w:p>
        </w:tc>
        <w:tc>
          <w:tcPr>
            <w:tcW w:type="dxa" w:w="18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vAlign w:val="center"/>
          </w:tcPr>
          <w:p>
            <w:pPr>
              <w:jc w:val="center"/>
            </w:pPr>
            <w:r>
              <w:rPr>
                <w:rFonts w:ascii="Arial" w:cs="Arial" w:eastAsia="Arial" w:hAnsi="Arial"/>
                <w:b/>
                <w:bCs/>
                <w:color w:val="4B1C82"/>
                <w:sz w:val="16"/>
                <w:szCs w:val="16"/>
              </w:rPr>
              <w:t xml:space="preserve">AI / ML</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H2 2027</w:t>
            </w:r>
          </w:p>
        </w:tc>
        <w:tc>
          <w:tcPr>
            <w:tcW w:type="dxa" w:w="9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6"/>
                <w:szCs w:val="16"/>
              </w:rPr>
              <w:t xml:space="preserve">Medium</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Evaluate Microsoft Fabric as a unified analytics platform, integrating with the upgraded SQL estate. Enables self-service BI, data engineering, and AI workloads on a single SaaS platform.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Always Encrypted with Secure Enclaves</w:t>
            </w:r>
          </w:p>
        </w:tc>
        <w:tc>
          <w:tcPr>
            <w:tcW w:type="dxa" w:w="1800"/>
            <w:tcBorders>
              <w:top w:val="single" w:color="CCCCCC" w:sz="4"/>
              <w:left w:val="single" w:color="CCCCCC" w:sz="4"/>
              <w:bottom w:val="single" w:color="CCCCCC" w:sz="4"/>
              <w:right w:val="single" w:color="CCCCCC" w:sz="4"/>
            </w:tcBorders>
            <w:shd w:fill="FDE9D9" w:val="clear"/>
            <w:tcMar>
              <w:top w:type="dxa" w:w="80"/>
              <w:left w:type="dxa" w:w="140"/>
              <w:bottom w:type="dxa" w:w="80"/>
              <w:right w:type="dxa" w:w="140"/>
            </w:tcMar>
            <w:vAlign w:val="center"/>
          </w:tcPr>
          <w:p>
            <w:pPr>
              <w:jc w:val="center"/>
            </w:pPr>
            <w:r>
              <w:rPr>
                <w:rFonts w:ascii="Arial" w:cs="Arial" w:eastAsia="Arial" w:hAnsi="Arial"/>
                <w:b/>
                <w:bCs/>
                <w:color w:val="843C0C"/>
                <w:sz w:val="16"/>
                <w:szCs w:val="16"/>
              </w:rPr>
              <w:t xml:space="preserve">Security</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H2 2026</w:t>
            </w:r>
          </w:p>
        </w:tc>
        <w:tc>
          <w:tcPr>
            <w:tcW w:type="dxa" w:w="9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center"/>
            </w:pPr>
            <w:r>
              <w:rPr>
                <w:rFonts w:ascii="Arial" w:cs="Arial" w:eastAsia="Arial" w:hAnsi="Arial"/>
                <w:b/>
                <w:bCs/>
                <w:color w:val="7F6000"/>
                <w:sz w:val="16"/>
                <w:szCs w:val="16"/>
              </w:rPr>
              <w:t xml:space="preserve">Medium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Deploy Always Encrypted with secure enclaves on SQL 2022 to enable rich queries on encrypted columns without exposing plaintext data — important for GDPR and financial data compliance.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Ledger Tables for Immutable Audit</w:t>
            </w:r>
          </w:p>
        </w:tc>
        <w:tc>
          <w:tcPr>
            <w:tcW w:type="dxa" w:w="1800"/>
            <w:tcBorders>
              <w:top w:val="single" w:color="CCCCCC" w:sz="4"/>
              <w:left w:val="single" w:color="CCCCCC" w:sz="4"/>
              <w:bottom w:val="single" w:color="CCCCCC" w:sz="4"/>
              <w:right w:val="single" w:color="CCCCCC" w:sz="4"/>
            </w:tcBorders>
            <w:shd w:fill="FDE9D9" w:val="clear"/>
            <w:tcMar>
              <w:top w:type="dxa" w:w="80"/>
              <w:left w:type="dxa" w:w="140"/>
              <w:bottom w:type="dxa" w:w="80"/>
              <w:right w:type="dxa" w:w="140"/>
            </w:tcMar>
            <w:vAlign w:val="center"/>
          </w:tcPr>
          <w:p>
            <w:pPr>
              <w:jc w:val="center"/>
            </w:pPr>
            <w:r>
              <w:rPr>
                <w:rFonts w:ascii="Arial" w:cs="Arial" w:eastAsia="Arial" w:hAnsi="Arial"/>
                <w:b/>
                <w:bCs/>
                <w:color w:val="843C0C"/>
                <w:sz w:val="16"/>
                <w:szCs w:val="16"/>
              </w:rPr>
              <w:t xml:space="preserve">Security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H2 2026</w:t>
            </w:r>
          </w:p>
        </w:tc>
        <w:tc>
          <w:tcPr>
            <w:tcW w:type="dxa" w:w="9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16"/>
                <w:szCs w:val="16"/>
              </w:rPr>
              <w:t xml:space="preserve">Low</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 Server 2022 Ledger Tables provide cryptographically verified, tamper-evident audit history. Ideal for compliance, financial records, and regulated data without third-party tooling.</w:t>
            </w:r>
          </w:p>
        </w:tc>
      </w:tr>
    </w:tbl>
    <w:p>
      <w:pPr>
        <w:spacing w:after="0" w:before="120"/>
      </w:pPr>
      <w:r>
        <w:t xml:space="preserve"/>
      </w:r>
    </w:p>
    <w:p>
      <w:pPr>
        <w:pStyle w:val="Heading2"/>
        <w:spacing w:after="80" w:before="240"/>
      </w:pPr>
      <w:r>
        <w:rPr>
          <w:rFonts w:ascii="Arial" w:cs="Arial" w:eastAsia="Arial" w:hAnsi="Arial"/>
          <w:b/>
          <w:bCs/>
          <w:color w:val="2E75B6"/>
          <w:sz w:val="22"/>
          <w:szCs w:val="22"/>
        </w:rPr>
        <w:t xml:space="preserve">11.2  AI &amp; Vector Database — Why It Matters</w:t>
      </w:r>
    </w:p>
    <w:p>
      <w:pPr>
        <w:spacing w:after="100" w:before="60"/>
        <w:jc w:val="left"/>
      </w:pPr>
      <w:r>
        <w:rPr>
          <w:rFonts w:ascii="Arial" w:cs="Arial" w:eastAsia="Arial" w:hAnsi="Arial"/>
          <w:b w:val="false"/>
          <w:bCs w:val="false"/>
          <w:i w:val="false"/>
          <w:iCs w:val="false"/>
          <w:color w:val="000000"/>
          <w:sz w:val="20"/>
          <w:szCs w:val="20"/>
        </w:rPr>
        <w:t xml:space="preserve">SQL Server 2025 is anticipated to include a native vector data type and vector similarity search functions, bringing the database platform into alignment with the rapidly growing AI/ML ecosystem. This has concrete business implications:</w:t>
      </w:r>
    </w:p>
    <w:p>
      <w:pPr>
        <w:pStyle w:val="ListParagraph"/>
        <w:numPr>
          <w:ilvl w:val="0"/>
          <w:numId w:val="2"/>
        </w:numPr>
        <w:spacing w:after="40" w:before="40"/>
      </w:pPr>
      <w:r>
        <w:rPr>
          <w:rFonts w:ascii="Arial" w:cs="Arial" w:eastAsia="Arial" w:hAnsi="Arial"/>
          <w:b w:val="false"/>
          <w:bCs w:val="false"/>
          <w:color w:val="000000"/>
          <w:sz w:val="20"/>
          <w:szCs w:val="20"/>
        </w:rPr>
        <w:t xml:space="preserve">Semantic search — enable users to search data by meaning rather than exact keywords, dramatically improving search relevance across product catalogues, knowledge bases, and customer records.</w:t>
      </w:r>
    </w:p>
    <w:p>
      <w:pPr>
        <w:pStyle w:val="ListParagraph"/>
        <w:numPr>
          <w:ilvl w:val="0"/>
          <w:numId w:val="2"/>
        </w:numPr>
        <w:spacing w:after="40" w:before="40"/>
      </w:pPr>
      <w:r>
        <w:rPr>
          <w:rFonts w:ascii="Arial" w:cs="Arial" w:eastAsia="Arial" w:hAnsi="Arial"/>
          <w:b w:val="false"/>
          <w:bCs w:val="false"/>
          <w:color w:val="000000"/>
          <w:sz w:val="20"/>
          <w:szCs w:val="20"/>
        </w:rPr>
        <w:t xml:space="preserve">RAG (Retrieval-Augmented Generation) — store AI embeddings alongside operational data, allowing Azure OpenAI models to answer business questions grounded in your actual company data with no hallucination risk.</w:t>
      </w:r>
    </w:p>
    <w:p>
      <w:pPr>
        <w:pStyle w:val="ListParagraph"/>
        <w:numPr>
          <w:ilvl w:val="0"/>
          <w:numId w:val="2"/>
        </w:numPr>
        <w:spacing w:after="40" w:before="40"/>
      </w:pPr>
      <w:r>
        <w:rPr>
          <w:rFonts w:ascii="Arial" w:cs="Arial" w:eastAsia="Arial" w:hAnsi="Arial"/>
          <w:b w:val="false"/>
          <w:bCs w:val="false"/>
          <w:color w:val="000000"/>
          <w:sz w:val="20"/>
          <w:szCs w:val="20"/>
        </w:rPr>
        <w:t xml:space="preserve">In-database AI inferencing — run ONNX machine learning models directly inside SQL Server, enabling real-time fraud detection, predictive maintenance, and churn scoring without data movement.</w:t>
      </w:r>
    </w:p>
    <w:p>
      <w:pPr>
        <w:pStyle w:val="ListParagraph"/>
        <w:numPr>
          <w:ilvl w:val="0"/>
          <w:numId w:val="2"/>
        </w:numPr>
        <w:spacing w:after="40" w:before="40"/>
      </w:pPr>
      <w:r>
        <w:rPr>
          <w:rFonts w:ascii="Arial" w:cs="Arial" w:eastAsia="Arial" w:hAnsi="Arial"/>
          <w:b w:val="false"/>
          <w:bCs w:val="false"/>
          <w:color w:val="000000"/>
          <w:sz w:val="20"/>
          <w:szCs w:val="20"/>
        </w:rPr>
        <w:t xml:space="preserve">Copilot-style features — natural language querying of operational databases, enabling business users to ask questions in plain English and receive SQL-generated answers.</w:t>
      </w:r>
    </w:p>
    <w:p>
      <w:pPr>
        <w:spacing w:after="0" w:before="80"/>
      </w:pPr>
      <w:r>
        <w:t xml:space="preserve"/>
      </w:r>
    </w:p>
    <w:p>
      <w:pPr>
        <w:pStyle w:val="Heading2"/>
        <w:spacing w:after="80" w:before="240"/>
      </w:pPr>
      <w:r>
        <w:rPr>
          <w:rFonts w:ascii="Arial" w:cs="Arial" w:eastAsia="Arial" w:hAnsi="Arial"/>
          <w:b/>
          <w:bCs/>
          <w:color w:val="2E75B6"/>
          <w:sz w:val="22"/>
          <w:szCs w:val="22"/>
        </w:rPr>
        <w:t xml:space="preserve">11.3  Storage Modernisation Opportunities</w:t>
      </w:r>
    </w:p>
    <w:p>
      <w:pPr>
        <w:spacing w:after="100" w:before="60"/>
        <w:jc w:val="left"/>
      </w:pPr>
      <w:r>
        <w:rPr>
          <w:rFonts w:ascii="Arial" w:cs="Arial" w:eastAsia="Arial" w:hAnsi="Arial"/>
          <w:b w:val="false"/>
          <w:bCs w:val="false"/>
          <w:i w:val="false"/>
          <w:iCs w:val="false"/>
          <w:color w:val="000000"/>
          <w:sz w:val="20"/>
          <w:szCs w:val="20"/>
        </w:rPr>
        <w:t xml:space="preserve">The current SQL estate presents significant storage improvement opportunities that can be realised within the existing SQL 2022 platform and extended into future versions:</w:t>
      </w:r>
    </w:p>
    <w:p>
      <w:pPr>
        <w:pStyle w:val="ListParagraph"/>
        <w:numPr>
          <w:ilvl w:val="0"/>
          <w:numId w:val="2"/>
        </w:numPr>
        <w:spacing w:after="40" w:before="40"/>
      </w:pPr>
      <w:r>
        <w:rPr>
          <w:rFonts w:ascii="Arial" w:cs="Arial" w:eastAsia="Arial" w:hAnsi="Arial"/>
          <w:b w:val="false"/>
          <w:bCs w:val="false"/>
          <w:color w:val="000000"/>
          <w:sz w:val="20"/>
          <w:szCs w:val="20"/>
        </w:rPr>
        <w:t xml:space="preserve">NVMe all-flash transition — replacing spinning disk or SATA SSD with NVMe storage is expected to reduce I/O latency by 60-80% for OLTP workloads. This is the single highest-ROI infrastructure investment available today.</w:t>
      </w:r>
    </w:p>
    <w:p>
      <w:pPr>
        <w:pStyle w:val="ListParagraph"/>
        <w:numPr>
          <w:ilvl w:val="0"/>
          <w:numId w:val="2"/>
        </w:numPr>
        <w:spacing w:after="40" w:before="40"/>
      </w:pPr>
      <w:r>
        <w:rPr>
          <w:rFonts w:ascii="Arial" w:cs="Arial" w:eastAsia="Arial" w:hAnsi="Arial"/>
          <w:b w:val="false"/>
          <w:bCs w:val="false"/>
          <w:color w:val="000000"/>
          <w:sz w:val="20"/>
          <w:szCs w:val="20"/>
        </w:rPr>
        <w:t xml:space="preserve">Intelligent storage tiering — automatically tier hot data to NVMe, warm data to SATA SSD, and cold/archive data to lower-cost object storage (Azure Blob), optimising cost vs. performance at scale.</w:t>
      </w:r>
    </w:p>
    <w:p>
      <w:pPr>
        <w:pStyle w:val="ListParagraph"/>
        <w:numPr>
          <w:ilvl w:val="0"/>
          <w:numId w:val="2"/>
        </w:numPr>
        <w:spacing w:after="40" w:before="40"/>
      </w:pPr>
      <w:r>
        <w:rPr>
          <w:rFonts w:ascii="Arial" w:cs="Arial" w:eastAsia="Arial" w:hAnsi="Arial"/>
          <w:b w:val="false"/>
          <w:bCs w:val="false"/>
          <w:color w:val="000000"/>
          <w:sz w:val="20"/>
          <w:szCs w:val="20"/>
        </w:rPr>
        <w:t xml:space="preserve">Storage Area Network (SAN) consolidation — evaluate hyper-converged infrastructure (HCI) options such as Azure Stack HCI to consolidate compute and storage, reducing operational overhead and improving manageability.</w:t>
      </w:r>
    </w:p>
    <w:p>
      <w:pPr>
        <w:pStyle w:val="ListParagraph"/>
        <w:numPr>
          <w:ilvl w:val="0"/>
          <w:numId w:val="2"/>
        </w:numPr>
        <w:spacing w:after="40" w:before="40"/>
      </w:pPr>
      <w:r>
        <w:rPr>
          <w:rFonts w:ascii="Arial" w:cs="Arial" w:eastAsia="Arial" w:hAnsi="Arial"/>
          <w:b w:val="false"/>
          <w:bCs w:val="false"/>
          <w:color w:val="000000"/>
          <w:sz w:val="20"/>
          <w:szCs w:val="20"/>
        </w:rPr>
        <w:t xml:space="preserve">Azure Arc-enabled SQL Server — extend Azure management, monitoring, and security policies to on-premises SQL instances, providing a unified management plane across the hybrid estate.</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12  Approval &amp; Sign-Off</w:t>
      </w:r>
    </w:p>
    <w:p>
      <w:pPr>
        <w:spacing w:after="100" w:before="60"/>
        <w:jc w:val="left"/>
      </w:pPr>
      <w:r>
        <w:rPr>
          <w:rFonts w:ascii="Arial" w:cs="Arial" w:eastAsia="Arial" w:hAnsi="Arial"/>
          <w:b w:val="false"/>
          <w:bCs w:val="false"/>
          <w:i w:val="false"/>
          <w:iCs w:val="false"/>
          <w:color w:val="000000"/>
          <w:sz w:val="20"/>
          <w:szCs w:val="20"/>
        </w:rPr>
        <w:t xml:space="preserve">Completion of this programme requires formal sign-off at each stage. The table below records approvals for production migrations and key programme milestones.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rPr>
          <w:tblHeader/>
        </w:trPr>
        <w:tc>
          <w:tcPr>
            <w:tcW w:type="dxa" w:w="26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Server / Scope</w:t>
            </w:r>
          </w:p>
        </w:tc>
        <w:tc>
          <w:tcPr>
            <w:tcW w:type="dxa" w:w="22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Approved By</w:t>
            </w:r>
          </w:p>
        </w:tc>
        <w:tc>
          <w:tcPr>
            <w:tcW w:type="dxa" w:w="200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Date</w:t>
            </w:r>
          </w:p>
        </w:tc>
        <w:tc>
          <w:tcPr>
            <w:tcW w:type="dxa" w:w="2560"/>
            <w:tcBorders>
              <w:top w:val="single" w:color="2E75B6" w:sz="8"/>
              <w:left w:val="single" w:color="2E75B6" w:sz="8"/>
              <w:bottom w:val="single" w:color="2E75B6" w:sz="8"/>
              <w:right w:val="single" w:color="2E75B6" w:sz="8"/>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Signature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SQL-DR-01 Production Validation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SQL-PROD-01 Production Migration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SQL-PROD-02 Production Migration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SQL-REP-01 Production Migration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SQL-INT-01 Production Migration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SQL-AUDIT-01 Production Migration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Skype for Business Decommission Sign-off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Full Programme Complete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w:r>
          </w:p>
        </w:tc>
      </w:tr>
    </w:tbl>
    <w:p>
      <w:pPr>
        <w:spacing w:after="0" w:before="200"/>
      </w:pPr>
      <w:r>
        <w:t xml:space="preserve"/>
      </w:r>
    </w:p>
    <w:p>
      <w:pPr>
        <w:spacing w:after="100" w:before="60"/>
        <w:jc w:val="center"/>
      </w:pPr>
      <w:r>
        <w:rPr>
          <w:rFonts w:ascii="Arial" w:cs="Arial" w:eastAsia="Arial" w:hAnsi="Arial"/>
          <w:b w:val="false"/>
          <w:bCs w:val="false"/>
          <w:i/>
          <w:iCs/>
          <w:color w:val="595959"/>
          <w:sz w:val="16"/>
          <w:szCs w:val="16"/>
        </w:rPr>
        <w:t xml:space="preserve">Document Classification: CONFIDENTIAL  |  Distribution: Project Team and Customer Management</w:t>
      </w:r>
    </w:p>
    <w:sectPr>
      <w:headerReference w:type="default" r:id="rId7"/>
      <w:footerReference w:type="default" r:id="rId8"/>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13680"/>
      </w:tabs>
      <w:spacing w:after="0" w:before="80"/>
    </w:pPr>
    <w:r>
      <w:rPr>
        <w:rFonts w:ascii="Arial" w:cs="Arial" w:eastAsia="Arial" w:hAnsi="Arial"/>
        <w:color w:val="595959"/>
        <w:sz w:val="16"/>
        <w:szCs w:val="16"/>
      </w:rPr>
      <w:t xml:space="preserve">SQL Server 2016 → 2022 Upgrade Project</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before="0"/>
    </w:pPr>
    <w:r>
      <w:rPr>
        <w:rFonts w:ascii="Arial" w:cs="Arial" w:eastAsia="Arial" w:hAnsi="Arial"/>
        <w:b/>
        <w:bCs/>
        <w:color w:val="1F3864"/>
        <w:sz w:val="18"/>
        <w:szCs w:val="18"/>
      </w:rPr>
      <w:t xml:space="preserve">SQL Server Upgrade Project  |  Tracking &amp; Status Report</w:t>
    </w:r>
    <w:r>
      <w:rPr>
        <w:rFonts w:ascii="Arial" w:cs="Arial" w:eastAsia="Arial" w:hAnsi="Arial"/>
        <w:color w:val="595959"/>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4149aa27cbb37eeef1d596ae8591e50b35dff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2026-07-07T01:14:14.925Z</dcterms:created>
  <dcterms:modified xsi:type="dcterms:W3CDTF">2026-07-07T01:14:14.939Z</dcterms:modified>
</cp:coreProperties>
</file>

<file path=docProps/custom.xml><?xml version="1.0" encoding="utf-8"?>
<Properties xmlns="http://schemas.openxmlformats.org/officeDocument/2006/custom-properties" xmlns:vt="http://schemas.openxmlformats.org/officeDocument/2006/docPropsVTypes"/>
</file>