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2025</w:t>
      </w:r>
    </w:p>
    <w:p>
      <w:r>
        <w:rPr>
          <w:b w:val="0"/>
          <w:color w:val="666666"/>
          <w:sz w:val="20"/>
        </w:rPr>
        <w:t>Board Meeting: February 6,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2025 revenue of $147.7M and EBITDA of $23.5M (15.9% margin), ahead of budget by 3.1%. Q4 2025 revenue and EBITDA are tracking ahead of the CIM base case — a strong position heading into final-round negotiations.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2025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$147.7M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$143.3M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$135.3M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+9.2%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$70.6M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47.8%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$23.5M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$22.3M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+5.4%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+11.9%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15.9%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4.2x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$85.9M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43.2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115,407.4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81.5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1st-round bids received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Received Q3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3 buyers shortlisted; final-round mgmt presentations Nov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Final-round process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Presentations Nov 3–14; final bids expected Dec 2025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Subscription retention pre-exit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Maintained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Subscriber churn at 3.8% — record low; strong DD data point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Data room preparation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VDR fully populated; 3 parties actively accessing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timeline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3 motivated buyers; definitive agreement target Q1 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Performance vs. CIM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Actual 3–4% ahead of CIM base case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Buyer financing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Strategic buyer (no financing contingency) is the lead bidder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2026 expected $146.7M. Final-round bids December. Definitive agreement target Q1 2026. Close expected Q2 2026.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