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Q1 2026</w:t>
      </w:r>
    </w:p>
    <w:p>
      <w:r>
        <w:rPr>
          <w:b w:val="0"/>
          <w:color w:val="666666"/>
          <w:sz w:val="20"/>
        </w:rPr>
        <w:t>Board Meeting: May 8,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May 8,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Q1 2026 revenue of $146.7M and EBITDA of $23.5M (16.0% margin), ahead of budget by 3.1%. This is Crestview's final board meeting as an Atlas Crossing portfolio company. The HSR waiting period expired with no second request.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Q1 2026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$146.7M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$142.3M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$134.4M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+9.2%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$70.4M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48.0%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$23.5M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+5.4%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+11.9%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16.0%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($6.8M)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4.1x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$88.4M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44.0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118,000.0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82.0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Transaction close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HSR cleared; buyer financing confirmed; close target April 30, 2026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Employee communication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All-hands meetings completed; retention high across all facilities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Buyer 100-day plan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Handed over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100-day integration plan presented to buyer management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Final subscription KPIs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Above target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118K subscribers; 44% DTC mix — both above exit targets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Close execution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Very 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All conditions satisfied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Q1 performance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3–4% ahead of budget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Post-close transition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Key management under transition agreements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Transaction close April 30, 2026. Fund II gross MOIC estimated ~2.8x. This is the final Crestview board package.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