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Crestview Coffee Roasters — Q4 2021</w:t>
      </w:r>
    </w:p>
    <w:p>
      <w:r>
        <w:rPr>
          <w:b w:val="0"/>
          <w:color w:val="666666"/>
          <w:sz w:val="20"/>
        </w:rPr>
        <w:t>Board Meeting: February 6, 2022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6, 2022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S. Chen, M. Tang (Atlas Crossing); A. Barrow (CEO); D. Frost, L. Kim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A. Barrow (CEO); K. Williams (CFO); T. Wu (CMO); R. Flores (COO)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S. Chen (Partner), M. Tang (MD), J. Mendez (VP), K. Patel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Crestview Coffee Roasters delivered Q4 2021 revenue of $98.1M and EBITDA of $14.2M (14.4% margin), ahead of budget by 3.0%. The corporate catering channel recovered strongly as offices reopened, with new enterprise accounts at 3 Fortune 500 companies.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2021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$98.1M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$95.2M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+3.0%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$89.6M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+9.5%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$43.4M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44.2%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$14.2M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$13.4M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+6.0%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$12.6M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+12.7%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14.4%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($1.9M)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$12.3M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($5.1M)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5.2x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5.9x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$51.7M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$36.5M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DTC % of Revenue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30.1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22.0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44.0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Subscription Customers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73,925.9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48,000.0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118,000.0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Roasting Facilities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5.0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Avg. Order Value ($)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73.2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68.0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82.0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Subscription growth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Ahead of plan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80K+ subscribers vs. 75K plan; churn rate 4.2% vs. 5.5% target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Corporate channel relaunch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On track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Enterprise sales team hired; 14 new corporate accounts in Q3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Roasting capacity expansion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In progress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Portland 2 facility approved; groundbreaking Q4 2021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Blue Mountain Coffee eval.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Advanced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LOI signed; due diligence underway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Supply chain normalization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Green coffee prices +18% YoY; pricing power partially offsetting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Subscription retention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Churn at 4.2% — best-in-class for specialty food subscriptions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Corporate competition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Positioned as premium brand; less exposed to commodity office coffee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Q1 Q1 2022 expected $97.5M. Blue Mountain Coffee acquisition close target Q2 2022. Portland 2 facility groundbreaking Q4 2021.</w:t>
      </w:r>
    </w:p>
    <w:p/>
    <w:p>
      <w:r>
        <w:rPr>
          <w:i/>
          <w:color w:val="666666"/>
          <w:sz w:val="18"/>
        </w:rPr>
        <w:t>Confidential — prepared for the Board of Directors of Crestview Coffee Roasters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