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666666"/>
          <w:sz w:val="22"/>
        </w:rPr>
        <w:t>ATLAS CROSSING PARTNERS — FUND III</w:t>
      </w:r>
    </w:p>
    <w:p>
      <w:r>
        <w:rPr>
          <w:b/>
          <w:color w:val="1F2A44"/>
          <w:sz w:val="44"/>
        </w:rPr>
        <w:t>Board of Directors Package</w:t>
      </w:r>
    </w:p>
    <w:p>
      <w:r>
        <w:rPr>
          <w:b w:val="0"/>
          <w:color w:val="1F2A44"/>
          <w:sz w:val="32"/>
        </w:rPr>
        <w:t>Pinecrest Specialty Foods — Q4 2022</w:t>
      </w:r>
    </w:p>
    <w:p>
      <w:r>
        <w:rPr>
          <w:b w:val="0"/>
          <w:color w:val="666666"/>
          <w:sz w:val="20"/>
        </w:rPr>
        <w:t>Board Meeting: February 6, 2023   |   Confidential — Board Use Only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7488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Date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sz w:val="20"/>
              </w:rPr>
              <w:t>February 6, 2023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Location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sz w:val="20"/>
              </w:rPr>
              <w:t>Atlas Crossing Partners, 2 Embarcadero Center, Suite 1800, San Francisco, CA 94111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Board Members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sz w:val="20"/>
              </w:rPr>
              <w:t>M. Tang, S. Chen (Atlas Crossing); C. Nakamura (CEO); T. Reid, P. Kim (Independent)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Management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sz w:val="20"/>
              </w:rPr>
              <w:t>C. Nakamura (CEO); R. Osei (CFO); A. Brennan (CMO); P. Walsh (COO)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Deal Team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sz w:val="20"/>
              </w:rPr>
              <w:t>M. Tang (MD), D. Okafor (Principal), J. Mendez (VP), S. Liu (Associate)</w:t>
            </w:r>
          </w:p>
        </w:tc>
      </w:tr>
    </w:tbl>
    <w:p/>
    <w:p>
      <w:pPr>
        <w:pStyle w:val="Heading2"/>
      </w:pPr>
      <w:r>
        <w:rPr>
          <w:color w:val="1F2A44"/>
        </w:rPr>
        <w:t>Agenda</w:t>
      </w:r>
    </w:p>
    <w:p>
      <w:r>
        <w:t>1.  Call to order and quorum confirmation</w:t>
      </w:r>
    </w:p>
    <w:p>
      <w:r>
        <w:t>2.  Approval of prior meeting minutes</w:t>
      </w:r>
    </w:p>
    <w:p>
      <w:r>
        <w:t>3.  Executive Summary and highlights</w:t>
      </w:r>
    </w:p>
    <w:p>
      <w:r>
        <w:t>4.  Financial performance review</w:t>
      </w:r>
    </w:p>
    <w:p>
      <w:r>
        <w:t>5.  Operational KPI update</w:t>
      </w:r>
    </w:p>
    <w:p>
      <w:r>
        <w:t>6.  Strategic initiatives status</w:t>
      </w:r>
    </w:p>
    <w:p>
      <w:r>
        <w:t>7.  Risk review</w:t>
      </w:r>
    </w:p>
    <w:p>
      <w:r>
        <w:t>8.  Next quarter outlook</w:t>
      </w:r>
    </w:p>
    <w:p>
      <w:r>
        <w:t>9.  Other business / adjourn</w:t>
      </w:r>
    </w:p>
    <w:p/>
    <w:p>
      <w:pPr>
        <w:pStyle w:val="Heading1"/>
      </w:pPr>
      <w:r>
        <w:rPr>
          <w:color w:val="1F2A44"/>
        </w:rPr>
        <w:t>Executive Summary</w:t>
      </w:r>
    </w:p>
    <w:p>
      <w:r>
        <w:t>Pinecrest Specialty Foods delivered Q4 2022 revenue of $102.7M and EBITDA of $13.1M (12.7% margin), ahead of budget by 3.1%. National retail distribution expanded to 56,000 points — up 47% since entry — driven by Kroger, Meijer, and Publix new program wins.</w:t>
      </w:r>
    </w:p>
    <w:p/>
    <w:p>
      <w:pPr>
        <w:pStyle w:val="Heading1"/>
      </w:pPr>
      <w:r>
        <w:rPr>
          <w:color w:val="1F2A44"/>
        </w:rPr>
        <w:t>Financial Performance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2592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1584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Q4 2022 Actual</w:t>
            </w:r>
          </w:p>
        </w:tc>
        <w:tc>
          <w:tcPr>
            <w:tcW w:type="dxa" w:w="1440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Budget</w:t>
            </w:r>
          </w:p>
        </w:tc>
        <w:tc>
          <w:tcPr>
            <w:tcW w:type="dxa" w:w="1440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Var. to Bud.</w:t>
            </w:r>
          </w:p>
        </w:tc>
        <w:tc>
          <w:tcPr>
            <w:tcW w:type="dxa" w:w="1584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Prior Year Qtr</w:t>
            </w:r>
          </w:p>
        </w:tc>
        <w:tc>
          <w:tcPr>
            <w:tcW w:type="dxa" w:w="1296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YoY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Revenue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$102.7M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$99.6M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+3.1%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$83.4M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+23.1%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Gross Profit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$38.6M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Gross Margin %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37.6%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EBITDA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$13.1M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$12.4M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+5.6%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$10.4M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+26.0%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EBITDA Margin %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12.7%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D&amp;A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($2.8M)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EBIT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$10.3M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Interest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($6.0M)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Net Leverage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6.5x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Entry: 7.2x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LTM EBITDA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$45.5M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Entry: $37.7M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</w:tbl>
    <w:p/>
    <w:p>
      <w:pPr>
        <w:pStyle w:val="Heading1"/>
      </w:pPr>
      <w:r>
        <w:rPr>
          <w:color w:val="1F2A44"/>
        </w:rPr>
        <w:t>Operational KPIs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744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KPI</w:t>
            </w:r>
          </w:p>
        </w:tc>
        <w:tc>
          <w:tcPr>
            <w:tcW w:type="dxa" w:w="2160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Current Quarter</w:t>
            </w:r>
          </w:p>
        </w:tc>
        <w:tc>
          <w:tcPr>
            <w:tcW w:type="dxa" w:w="2160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Entry Baseline</w:t>
            </w:r>
          </w:p>
        </w:tc>
        <w:tc>
          <w:tcPr>
            <w:tcW w:type="dxa" w:w="1872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Target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sz w:val="20"/>
              </w:rPr>
              <w:t>Retail Distribution Points (K)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49.9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38.0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sz w:val="20"/>
              </w:rPr>
              <w:t>Target: 72.0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sz w:val="20"/>
              </w:rPr>
              <w:t>Better-for-You % of SKUs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26.4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18.0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sz w:val="20"/>
              </w:rPr>
              <w:t>Target: 42.0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sz w:val="20"/>
              </w:rPr>
              <w:t>Manufacturing Facilities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5.0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4.0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sz w:val="20"/>
              </w:rPr>
              <w:t>Target: 6.0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sz w:val="20"/>
              </w:rPr>
              <w:t>On-Shelf Availability %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96.1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95.2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sz w:val="20"/>
              </w:rPr>
              <w:t>Target: 97.8</w:t>
            </w:r>
          </w:p>
        </w:tc>
      </w:tr>
    </w:tbl>
    <w:p/>
    <w:p>
      <w:pPr>
        <w:pStyle w:val="Heading1"/>
      </w:pPr>
      <w:r>
        <w:rPr>
          <w:color w:val="1F2A44"/>
        </w:rPr>
        <w:t>Strategic Initiatives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68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Initiative</w:t>
            </w:r>
          </w:p>
        </w:tc>
        <w:tc>
          <w:tcPr>
            <w:tcW w:type="dxa" w:w="2160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4608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sz w:val="20"/>
              </w:rPr>
              <w:t>Harvest Kitchen integration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In progress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sz w:val="20"/>
              </w:rPr>
              <w:t>Day-1 complete; systems unified target Q3 2022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sz w:val="20"/>
              </w:rPr>
              <w:t>BFY reformulation milestone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Launched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sz w:val="20"/>
              </w:rPr>
              <w:t>42 BFY SKUs live; BFY mix at 28% of total SKUs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sz w:val="20"/>
              </w:rPr>
              <w:t>National retail expansion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Ahead of plan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sz w:val="20"/>
              </w:rPr>
              <w:t>56K distribution points vs. 52K plan; Kroger + Publix wins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sz w:val="20"/>
              </w:rPr>
              <w:t>Foodservice channel pilot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Initiated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sz w:val="20"/>
              </w:rPr>
              <w:t>Healthcare foodservice pilot with Aramark launched Q3</w:t>
            </w:r>
          </w:p>
        </w:tc>
      </w:tr>
    </w:tbl>
    <w:p/>
    <w:p>
      <w:pPr>
        <w:pStyle w:val="Heading1"/>
      </w:pPr>
      <w:r>
        <w:rPr>
          <w:color w:val="1F2A44"/>
        </w:rPr>
        <w:t>Key Risks &amp; Mitigation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Risk</w:t>
            </w:r>
          </w:p>
        </w:tc>
        <w:tc>
          <w:tcPr>
            <w:tcW w:type="dxa" w:w="1440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Severity</w:t>
            </w:r>
          </w:p>
        </w:tc>
        <w:tc>
          <w:tcPr>
            <w:tcW w:type="dxa" w:w="5616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Mitigation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sz w:val="20"/>
              </w:rPr>
              <w:t>Harvest Kitchen integration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Low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sz w:val="20"/>
              </w:rPr>
              <w:t>BFY specialist integration; clean DD; smooth Day-1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sz w:val="20"/>
              </w:rPr>
              <w:t>Input cost inflation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Medium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sz w:val="20"/>
              </w:rPr>
              <w:t>Commodity costs peaking; forward contracts cover 70% of FY2023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sz w:val="20"/>
              </w:rPr>
              <w:t>Category competition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Medium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sz w:val="20"/>
              </w:rPr>
              <w:t>Lean Cuisine and Amy's Kitchen both launching BFY lines — differentiation strategy clear</w:t>
            </w:r>
          </w:p>
        </w:tc>
      </w:tr>
    </w:tbl>
    <w:p/>
    <w:p>
      <w:pPr>
        <w:pStyle w:val="Heading1"/>
      </w:pPr>
      <w:r>
        <w:rPr>
          <w:color w:val="1F2A44"/>
        </w:rPr>
        <w:t>Next Quarter Outlook</w:t>
      </w:r>
    </w:p>
    <w:p>
      <w:r>
        <w:t>Q1 Q1 2023 expected $102.6M. Harvest Kitchen fully integrated Q3. BFY targeting 32% of SKUs by YE 2022. Coastal Provisions bolt-on evaluation begins.</w:t>
      </w:r>
    </w:p>
    <w:p/>
    <w:p>
      <w:r>
        <w:rPr>
          <w:i/>
          <w:color w:val="666666"/>
          <w:sz w:val="18"/>
        </w:rPr>
        <w:t>Confidential — prepared for the Board of Directors of Pinecrest Specialty Foods and Atlas Crossing Partners. Not for distribution.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