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666666"/>
          <w:sz w:val="22"/>
        </w:rPr>
        <w:t>ATLAS CROSSING PARTNERS — FUND III</w:t>
      </w:r>
    </w:p>
    <w:p>
      <w:r>
        <w:rPr>
          <w:b/>
          <w:color w:val="1F2A44"/>
          <w:sz w:val="44"/>
        </w:rPr>
        <w:t>Board of Directors Package</w:t>
      </w:r>
    </w:p>
    <w:p>
      <w:r>
        <w:rPr>
          <w:b w:val="0"/>
          <w:color w:val="1F2A44"/>
          <w:sz w:val="32"/>
        </w:rPr>
        <w:t>Pinecrest Specialty Foods — Q4 2023</w:t>
      </w:r>
    </w:p>
    <w:p>
      <w:r>
        <w:rPr>
          <w:b w:val="0"/>
          <w:color w:val="666666"/>
          <w:sz w:val="20"/>
        </w:rPr>
        <w:t>Board Meeting: February 6, 2024   |   Confidential — Board Use Only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7488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Date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sz w:val="20"/>
              </w:rPr>
              <w:t>February 6, 2024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Location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sz w:val="20"/>
              </w:rPr>
              <w:t>Atlas Crossing Partners, 2 Embarcadero Center, Suite 1800, San Francisco, CA 94111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Board Members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sz w:val="20"/>
              </w:rPr>
              <w:t>M. Tang, S. Chen (Atlas Crossing); C. Nakamura (CEO); T. Reid, P. Kim (Independent)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Management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sz w:val="20"/>
              </w:rPr>
              <w:t>C. Nakamura (CEO); R. Osei (CFO); A. Brennan (CMO); P. Walsh (COO)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Deal Team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sz w:val="20"/>
              </w:rPr>
              <w:t>M. Tang (MD), D. Okafor (Principal), J. Mendez (VP), S. Liu (Associate)</w:t>
            </w:r>
          </w:p>
        </w:tc>
      </w:tr>
    </w:tbl>
    <w:p/>
    <w:p>
      <w:pPr>
        <w:pStyle w:val="Heading2"/>
      </w:pPr>
      <w:r>
        <w:rPr>
          <w:color w:val="1F2A44"/>
        </w:rPr>
        <w:t>Agenda</w:t>
      </w:r>
    </w:p>
    <w:p>
      <w:r>
        <w:t>1.  Call to order and quorum confirmation</w:t>
      </w:r>
    </w:p>
    <w:p>
      <w:r>
        <w:t>2.  Approval of prior meeting minutes</w:t>
      </w:r>
    </w:p>
    <w:p>
      <w:r>
        <w:t>3.  Executive Summary and highlights</w:t>
      </w:r>
    </w:p>
    <w:p>
      <w:r>
        <w:t>4.  Financial performance review</w:t>
      </w:r>
    </w:p>
    <w:p>
      <w:r>
        <w:t>5.  Operational KPI update</w:t>
      </w:r>
    </w:p>
    <w:p>
      <w:r>
        <w:t>6.  Strategic initiatives status</w:t>
      </w:r>
    </w:p>
    <w:p>
      <w:r>
        <w:t>7.  Risk review</w:t>
      </w:r>
    </w:p>
    <w:p>
      <w:r>
        <w:t>8.  Next quarter outlook</w:t>
      </w:r>
    </w:p>
    <w:p>
      <w:r>
        <w:t>9.  Other business / adjourn</w:t>
      </w:r>
    </w:p>
    <w:p/>
    <w:p>
      <w:pPr>
        <w:pStyle w:val="Heading1"/>
      </w:pPr>
      <w:r>
        <w:rPr>
          <w:color w:val="1F2A44"/>
        </w:rPr>
        <w:t>Executive Summary</w:t>
      </w:r>
    </w:p>
    <w:p>
      <w:r>
        <w:t>Pinecrest Specialty Foods delivered Q4 2023 revenue of $122.3M and EBITDA of $15.9M (13.0% margin), ahead of budget by 3.0%. Atlas Crossing IC approved beginning exit preparation, targeting a sell-side process in Q4 2025.</w:t>
      </w:r>
    </w:p>
    <w:p/>
    <w:p>
      <w:pPr>
        <w:pStyle w:val="Heading1"/>
      </w:pPr>
      <w:r>
        <w:rPr>
          <w:color w:val="1F2A44"/>
        </w:rPr>
        <w:t>Financial Performance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592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1584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Q4 2023 Actual</w:t>
            </w:r>
          </w:p>
        </w:tc>
        <w:tc>
          <w:tcPr>
            <w:tcW w:type="dxa" w:w="1440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Budget</w:t>
            </w:r>
          </w:p>
        </w:tc>
        <w:tc>
          <w:tcPr>
            <w:tcW w:type="dxa" w:w="1440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Var. to Bud.</w:t>
            </w:r>
          </w:p>
        </w:tc>
        <w:tc>
          <w:tcPr>
            <w:tcW w:type="dxa" w:w="1584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Prior Year Qtr</w:t>
            </w:r>
          </w:p>
        </w:tc>
        <w:tc>
          <w:tcPr>
            <w:tcW w:type="dxa" w:w="1296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YoY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Revenue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$122.3M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$118.7M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+3.0%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$102.7M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+19.1%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Gross Profit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$47.1M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Gross Margin %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38.5%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EBITDA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$15.9M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$15.1M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+5.3%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$13.1M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+21.4%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EBITDA Margin %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13.0%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D&amp;A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($3.5M)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EBIT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$12.4M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Interest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($6.7M)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Net Leverage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6.1x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Entry: 7.2x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LTM EBITDA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$54.8M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Entry: $37.7M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</w:tbl>
    <w:p/>
    <w:p>
      <w:pPr>
        <w:pStyle w:val="Heading1"/>
      </w:pPr>
      <w:r>
        <w:rPr>
          <w:color w:val="1F2A44"/>
        </w:rPr>
        <w:t>Operational KPIs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744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KPI</w:t>
            </w:r>
          </w:p>
        </w:tc>
        <w:tc>
          <w:tcPr>
            <w:tcW w:type="dxa" w:w="2160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Current Quarter</w:t>
            </w:r>
          </w:p>
        </w:tc>
        <w:tc>
          <w:tcPr>
            <w:tcW w:type="dxa" w:w="2160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Entry Baseline</w:t>
            </w:r>
          </w:p>
        </w:tc>
        <w:tc>
          <w:tcPr>
            <w:tcW w:type="dxa" w:w="1872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Target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sz w:val="20"/>
              </w:rPr>
              <w:t>Retail Distribution Points (K)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56.7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38.0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sz w:val="20"/>
              </w:rPr>
              <w:t>Target: 72.0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sz w:val="20"/>
              </w:rPr>
              <w:t>Better-for-You % of SKUs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31.2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18.0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sz w:val="20"/>
              </w:rPr>
              <w:t>Target: 42.0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sz w:val="20"/>
              </w:rPr>
              <w:t>Manufacturing Facilities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6.0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4.0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sz w:val="20"/>
              </w:rPr>
              <w:t>Target: 6.0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sz w:val="20"/>
              </w:rPr>
              <w:t>On-Shelf Availability %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96.6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95.2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sz w:val="20"/>
              </w:rPr>
              <w:t>Target: 97.8</w:t>
            </w:r>
          </w:p>
        </w:tc>
      </w:tr>
    </w:tbl>
    <w:p/>
    <w:p>
      <w:pPr>
        <w:pStyle w:val="Heading1"/>
      </w:pPr>
      <w:r>
        <w:rPr>
          <w:color w:val="1F2A44"/>
        </w:rPr>
        <w:t>Strategic Initiatives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Initiative</w:t>
            </w:r>
          </w:p>
        </w:tc>
        <w:tc>
          <w:tcPr>
            <w:tcW w:type="dxa" w:w="2160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4608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sz w:val="20"/>
              </w:rPr>
              <w:t>Coastal Provisions integration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In progress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sz w:val="20"/>
              </w:rPr>
              <w:t>Day-1 IMO established; systems cutover target Q1 2024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sz w:val="20"/>
              </w:rPr>
              <w:t>BFY milestone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Achieved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sz w:val="20"/>
              </w:rPr>
              <w:t>BFY at 38% of SKUs — ahead of 35% target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sz w:val="20"/>
              </w:rPr>
              <w:t>Foodservice channel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Scaling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sz w:val="20"/>
              </w:rPr>
              <w:t>Aramark + Compass Group accounts; foodservice now 8% of revenue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sz w:val="20"/>
              </w:rPr>
              <w:t>Exit preparation scoping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IC approved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sz w:val="20"/>
              </w:rPr>
              <w:t>IC approved Q4 2025 exit; banker shortlist active</w:t>
            </w:r>
          </w:p>
        </w:tc>
      </w:tr>
    </w:tbl>
    <w:p/>
    <w:p>
      <w:pPr>
        <w:pStyle w:val="Heading1"/>
      </w:pPr>
      <w:r>
        <w:rPr>
          <w:color w:val="1F2A44"/>
        </w:rPr>
        <w:t>Key Risks &amp; Mitigation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Risk</w:t>
            </w:r>
          </w:p>
        </w:tc>
        <w:tc>
          <w:tcPr>
            <w:tcW w:type="dxa" w:w="1440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Severity</w:t>
            </w:r>
          </w:p>
        </w:tc>
        <w:tc>
          <w:tcPr>
            <w:tcW w:type="dxa" w:w="5616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Mitigation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Coastal integration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Low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sz w:val="20"/>
              </w:rPr>
              <w:t>Seafood specialist; clean DD; strong Day-1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Input cost normalization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Positive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sz w:val="20"/>
              </w:rPr>
              <w:t>Commodity costs -12% YoY; margin expansion accelerating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Exit market conditions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Low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sz w:val="20"/>
              </w:rPr>
              <w:t>Consumer branded food M&amp;A very active; premium multiples for BFY</w:t>
            </w:r>
          </w:p>
        </w:tc>
      </w:tr>
    </w:tbl>
    <w:p/>
    <w:p>
      <w:pPr>
        <w:pStyle w:val="Heading1"/>
      </w:pPr>
      <w:r>
        <w:rPr>
          <w:color w:val="1F2A44"/>
        </w:rPr>
        <w:t>Next Quarter Outlook</w:t>
      </w:r>
    </w:p>
    <w:p>
      <w:r>
        <w:t>Q1 Q1 2024 expected $122.1M. Coastal Provisions integration complete Q1 2024. BFY targeting 40% by YE 2024. Houlihan Lokey engagement target Q1 2024.</w:t>
      </w:r>
    </w:p>
    <w:p/>
    <w:p>
      <w:r>
        <w:rPr>
          <w:i/>
          <w:color w:val="666666"/>
          <w:sz w:val="18"/>
        </w:rPr>
        <w:t>Confidential — prepared for the Board of Directors of Pinecrest Specialty Foods and Atlas Crossing Partners. Not for distribution.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