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66666"/>
          <w:sz w:val="22"/>
        </w:rPr>
        <w:t>ATLAS CROSSING PARTNERS — FUND III</w:t>
      </w:r>
    </w:p>
    <w:p>
      <w:r>
        <w:rPr>
          <w:b/>
          <w:color w:val="1F2A44"/>
          <w:sz w:val="44"/>
        </w:rPr>
        <w:t>Board of Directors Package</w:t>
      </w:r>
    </w:p>
    <w:p>
      <w:r>
        <w:rPr>
          <w:b w:val="0"/>
          <w:color w:val="1F2A44"/>
          <w:sz w:val="32"/>
        </w:rPr>
        <w:t>Vanguard Auto Parts — Q4 2021</w:t>
      </w:r>
    </w:p>
    <w:p>
      <w:r>
        <w:rPr>
          <w:b w:val="0"/>
          <w:color w:val="666666"/>
          <w:sz w:val="20"/>
        </w:rPr>
        <w:t>Board Meeting: February 6, 2022   |   Confidential — Board Use Only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7488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Date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February 6, 2022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Location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Atlas Crossing Partners, 2 Embarcadero Center, Suite 1800, San Francisco, CA 94111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Board Members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M. Tang, D. Okafor (Atlas Crossing); B. Harmon (CEO); J. Whitfield, C. Moore (Independent)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Management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B. Harmon (CEO); T. Nguyen (CFO); S. Park (COO); M. Ellis (SVP Sales)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Deal Team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M. Tang (MD), D. Okafor (Principal), N. Patel (VP), A. Ross (Associate)</w:t>
            </w:r>
          </w:p>
        </w:tc>
      </w:tr>
    </w:tbl>
    <w:p/>
    <w:p>
      <w:pPr>
        <w:pStyle w:val="Heading2"/>
      </w:pPr>
      <w:r>
        <w:rPr>
          <w:color w:val="1F2A44"/>
        </w:rPr>
        <w:t>Agenda</w:t>
      </w:r>
    </w:p>
    <w:p>
      <w:r>
        <w:t>1.  Call to order and quorum confirmation</w:t>
      </w:r>
    </w:p>
    <w:p>
      <w:r>
        <w:t>2.  Approval of prior meeting minutes</w:t>
      </w:r>
    </w:p>
    <w:p>
      <w:r>
        <w:t>3.  Executive Summary and highlights</w:t>
      </w:r>
    </w:p>
    <w:p>
      <w:r>
        <w:t>4.  Financial performance review</w:t>
      </w:r>
    </w:p>
    <w:p>
      <w:r>
        <w:t>5.  Operational KPI update</w:t>
      </w:r>
    </w:p>
    <w:p>
      <w:r>
        <w:t>6.  Strategic initiatives status</w:t>
      </w:r>
    </w:p>
    <w:p>
      <w:r>
        <w:t>7.  Risk review</w:t>
      </w:r>
    </w:p>
    <w:p>
      <w:r>
        <w:t>8.  Next quarter outlook</w:t>
      </w:r>
    </w:p>
    <w:p>
      <w:r>
        <w:t>9.  Other business / adjourn</w:t>
      </w:r>
    </w:p>
    <w:p/>
    <w:p>
      <w:pPr>
        <w:pStyle w:val="Heading1"/>
      </w:pPr>
      <w:r>
        <w:rPr>
          <w:color w:val="1F2A44"/>
        </w:rPr>
        <w:t>Executive Summary</w:t>
      </w:r>
    </w:p>
    <w:p>
      <w:r>
        <w:t>Vanguard Auto Parts delivered Q4 2021 revenue of $164.0M and EBITDA of $14.4M (8.8% margin), ahead of budget by 3.1%. FY2021 EBITDA grew 22% vs. entry LTM, driven by SKU rationalization savings ($6.2M annualized), pricing discipline, and volume recovery.</w:t>
      </w:r>
    </w:p>
    <w:p/>
    <w:p>
      <w:pPr>
        <w:pStyle w:val="Heading1"/>
      </w:pPr>
      <w:r>
        <w:rPr>
          <w:color w:val="1F2A44"/>
        </w:rPr>
        <w:t>Financial Performance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592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1584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Q4 2021 Actual</w:t>
            </w:r>
          </w:p>
        </w:tc>
        <w:tc>
          <w:tcPr>
            <w:tcW w:type="dxa" w:w="144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Budget</w:t>
            </w:r>
          </w:p>
        </w:tc>
        <w:tc>
          <w:tcPr>
            <w:tcW w:type="dxa" w:w="144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Var. to Bud.</w:t>
            </w:r>
          </w:p>
        </w:tc>
        <w:tc>
          <w:tcPr>
            <w:tcW w:type="dxa" w:w="1584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Prior Year Qtr</w:t>
            </w:r>
          </w:p>
        </w:tc>
        <w:tc>
          <w:tcPr>
            <w:tcW w:type="dxa" w:w="1296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YoY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Revenue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$164.0M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$159.0M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+3.1%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$147.0M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+11.6%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Gross Profit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$37.7M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Gross Margin 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23.0%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EBITDA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$14.4M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$13.7M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+5.1%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$12.4M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+16.1%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EBITDA Margin 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8.8%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D&amp;A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($3.5M)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EBIT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$10.9M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Interest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($6.8M)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Net Leverage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6.2x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Entry: 6.8x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LTM EBITDA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$56.8M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Entry: $52.7M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</w:tbl>
    <w:p/>
    <w:p>
      <w:pPr>
        <w:pStyle w:val="Heading1"/>
      </w:pPr>
      <w:r>
        <w:rPr>
          <w:color w:val="1F2A44"/>
        </w:rPr>
        <w:t>Operational KPIs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744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KPI</w:t>
            </w:r>
          </w:p>
        </w:tc>
        <w:tc>
          <w:tcPr>
            <w:tcW w:type="dxa" w:w="216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Current Quarter</w:t>
            </w:r>
          </w:p>
        </w:tc>
        <w:tc>
          <w:tcPr>
            <w:tcW w:type="dxa" w:w="216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Entry Baseline</w:t>
            </w:r>
          </w:p>
        </w:tc>
        <w:tc>
          <w:tcPr>
            <w:tcW w:type="dxa" w:w="1872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E-commerce % of Revenue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12.5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8.0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20"/>
              </w:rPr>
              <w:t>Target: 28.0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SKU Count (active)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197,000.0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182,000.0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20"/>
              </w:rPr>
              <w:t>Target: 248,000.0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Warehouse Locations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12.0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12.0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20"/>
              </w:rPr>
              <w:t>Target: 19.0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Fill Rate %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95.0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94.2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20"/>
              </w:rPr>
              <w:t>Target: 97.8</w:t>
            </w:r>
          </w:p>
        </w:tc>
      </w:tr>
    </w:tbl>
    <w:p/>
    <w:p>
      <w:pPr>
        <w:pStyle w:val="Heading1"/>
      </w:pPr>
      <w:r>
        <w:rPr>
          <w:color w:val="1F2A44"/>
        </w:rPr>
        <w:t>Strategic Initiatives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Initiative</w:t>
            </w:r>
          </w:p>
        </w:tc>
        <w:tc>
          <w:tcPr>
            <w:tcW w:type="dxa" w:w="216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608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E-commerce portal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Launched Q3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14% of revenue after launch; 1,800 shop accounts activated online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SKU rationalization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Completed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28,000 SKUs deactivated; $6.2M annualized cost savings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Detroit Auto acquisition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LOI signed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LOI signed Q4 2021; diligence underway; close target Q1 2022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Private label expansion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Initiated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Private label strategy approved; first 12 SKUs in development</w:t>
            </w:r>
          </w:p>
        </w:tc>
      </w:tr>
    </w:tbl>
    <w:p/>
    <w:p>
      <w:pPr>
        <w:pStyle w:val="Heading1"/>
      </w:pPr>
      <w:r>
        <w:rPr>
          <w:color w:val="1F2A44"/>
        </w:rPr>
        <w:t>Key Risks &amp; Mitigation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144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5616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Supply chain (fill rate)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Medium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sz w:val="20"/>
              </w:rPr>
              <w:t>Fill rate improved to 95.8%; targeting 97% by YE 2022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E-commerce adoption pace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Low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sz w:val="20"/>
              </w:rPr>
              <w:t>14% penetration exceeds plan; scaling customer success team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Detroit LOI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Low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sz w:val="20"/>
              </w:rPr>
              <w:t>No antitrust issues; HSR not required; close expected Q1 2022</w:t>
            </w:r>
          </w:p>
        </w:tc>
      </w:tr>
    </w:tbl>
    <w:p/>
    <w:p>
      <w:pPr>
        <w:pStyle w:val="Heading1"/>
      </w:pPr>
      <w:r>
        <w:rPr>
          <w:color w:val="1F2A44"/>
        </w:rPr>
        <w:t>Next Quarter Outlook</w:t>
      </w:r>
    </w:p>
    <w:p>
      <w:r>
        <w:t>Q1 Q1 2022 expected $176.7M. Detroit Auto close expected Q1 2022. E-commerce targeting 18% of revenue by YE 2022. Private label first SKUs Q2 2022.</w:t>
      </w:r>
    </w:p>
    <w:p/>
    <w:p>
      <w:r>
        <w:rPr>
          <w:i/>
          <w:color w:val="666666"/>
          <w:sz w:val="18"/>
        </w:rPr>
        <w:t>Confidential — prepared for the Board of Directors of Vanguard Auto Parts and Atlas Crossing Partners. Not for distribution.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