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2022</w:t>
      </w:r>
    </w:p>
    <w:p>
      <w:r>
        <w:rPr>
          <w:b w:val="0"/>
          <w:color w:val="666666"/>
          <w:sz w:val="20"/>
        </w:rPr>
        <w:t>Board Meeting: February 6, 2023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2022 revenue of $206.1M and EBITDA of $19.0M (9.2% margin), ahead of budget by 3.1%. E-commerce reached 20% of revenue — a major value creation milestone — while private label launched with 12 SKUs and a 34% reorder rate. Southeast Parts Network acquired this quarter. Atlanta, GA — aftermarket distributor serving 6 Southeast states; adds 340 independent shop accounts and 3 DCs.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2022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$206.1M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$199.9M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$164.0M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+25.7%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$49.1M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$19.0M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$18.0M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+5.6%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+31.9%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($6.2M)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($8.7M)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6.3x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16.2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209,000.0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17.0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Detroit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Systems unified Q2; customer retention 98%; ahead of plan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Southeast Parts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complete; systems cutover Q1 2023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 scaling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20% of revenue; 3,200 accounts activated; mobile app Q1 2023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launch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12 SKUs live; 34% reorder rate vs. 25% target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Southeast integration complexity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Two-DC acquisition in new geography; playbook from Detroit applied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Leverage post-acquisitions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Leverage increased with two bolt-ons; declining on strong FCF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inflation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Supplier contracts locked; PL margin protected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2023 expected $209.0M. Southeast integration target Q1 2023. E-commerce targeting 23% by YE 2023. Southwest bolt-on evaluation begins.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