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666666"/>
          <w:sz w:val="22"/>
        </w:rPr>
        <w:t>ATLAS CROSSING PARTNERS — FUND III</w:t>
      </w:r>
    </w:p>
    <w:p>
      <w:r>
        <w:rPr>
          <w:b/>
          <w:color w:val="1F2A44"/>
          <w:sz w:val="44"/>
        </w:rPr>
        <w:t>Board of Directors Package</w:t>
      </w:r>
    </w:p>
    <w:p>
      <w:r>
        <w:rPr>
          <w:b w:val="0"/>
          <w:color w:val="1F2A44"/>
          <w:sz w:val="32"/>
        </w:rPr>
        <w:t>Wholesum Foods Distribution, Inc. — Q1 2026</w:t>
      </w:r>
    </w:p>
    <w:p>
      <w:r>
        <w:rPr>
          <w:b w:val="0"/>
          <w:color w:val="666666"/>
          <w:sz w:val="20"/>
        </w:rPr>
        <w:t>Board Meeting: May 7, 2026   |   Confidential — Board Use Only</w:t>
      </w:r>
    </w:p>
    <w:p/>
    <w:tbl>
      <w:tblPr>
        <w:tblStyle w:val="LightGrid-Accent1"/>
        <w:tblW w:type="auto" w:w="0"/>
        <w:tblLook w:firstColumn="1" w:firstRow="1" w:lastColumn="0" w:lastRow="0" w:noHBand="0" w:noVBand="1" w:val="04A0"/>
      </w:tblPr>
      <w:tblGrid>
        <w:gridCol w:w="4680"/>
        <w:gridCol w:w="4680"/>
      </w:tblGrid>
      <w:tr>
        <w:tc>
          <w:tcPr>
            <w:tcW w:type="dxa" w:w="2592"/>
            <w:shd w:val="clear" w:color="auto" w:fill="1F2A44"/>
            <w:vAlign w:val="center"/>
          </w:tcPr>
          <w:p>
            <w:r/>
            <w:r>
              <w:rPr>
                <w:b/>
                <w:color w:val="FFFFFF"/>
                <w:sz w:val="20"/>
              </w:rPr>
            </w:r>
          </w:p>
        </w:tc>
        <w:tc>
          <w:tcPr>
            <w:tcW w:type="dxa" w:w="7488"/>
            <w:shd w:val="clear" w:color="auto" w:fill="1F2A44"/>
            <w:vAlign w:val="center"/>
          </w:tcPr>
          <w:p>
            <w:r/>
            <w:r>
              <w:rPr>
                <w:b/>
                <w:color w:val="FFFFFF"/>
                <w:sz w:val="20"/>
              </w:rPr>
            </w:r>
          </w:p>
        </w:tc>
      </w:tr>
      <w:tr>
        <w:tc>
          <w:tcPr>
            <w:tcW w:type="dxa" w:w="2592"/>
            <w:vAlign w:val="center"/>
          </w:tcPr>
          <w:p>
            <w:r/>
            <w:r>
              <w:rPr>
                <w:sz w:val="20"/>
              </w:rPr>
              <w:t>Date</w:t>
            </w:r>
          </w:p>
        </w:tc>
        <w:tc>
          <w:tcPr>
            <w:tcW w:type="dxa" w:w="7488"/>
            <w:vAlign w:val="center"/>
          </w:tcPr>
          <w:p>
            <w:r/>
            <w:r>
              <w:rPr>
                <w:sz w:val="20"/>
              </w:rPr>
              <w:t>May 7, 2026</w:t>
            </w:r>
          </w:p>
        </w:tc>
      </w:tr>
      <w:tr>
        <w:tc>
          <w:tcPr>
            <w:tcW w:type="dxa" w:w="2592"/>
            <w:vAlign w:val="center"/>
          </w:tcPr>
          <w:p>
            <w:r/>
            <w:r>
              <w:rPr>
                <w:sz w:val="20"/>
              </w:rPr>
              <w:t>Location</w:t>
            </w:r>
          </w:p>
        </w:tc>
        <w:tc>
          <w:tcPr>
            <w:tcW w:type="dxa" w:w="7488"/>
            <w:vAlign w:val="center"/>
          </w:tcPr>
          <w:p>
            <w:r/>
            <w:r>
              <w:rPr>
                <w:sz w:val="20"/>
              </w:rPr>
              <w:t>Atlas Crossing Partners, 2 Embarcadero Center, Suite 1800, San Francisco, CA 94111</w:t>
            </w:r>
          </w:p>
        </w:tc>
      </w:tr>
      <w:tr>
        <w:tc>
          <w:tcPr>
            <w:tcW w:type="dxa" w:w="2592"/>
            <w:vAlign w:val="center"/>
          </w:tcPr>
          <w:p>
            <w:r/>
            <w:r>
              <w:rPr>
                <w:sz w:val="20"/>
              </w:rPr>
              <w:t>Board Members</w:t>
            </w:r>
          </w:p>
        </w:tc>
        <w:tc>
          <w:tcPr>
            <w:tcW w:type="dxa" w:w="7488"/>
            <w:vAlign w:val="center"/>
          </w:tcPr>
          <w:p>
            <w:r/>
            <w:r>
              <w:rPr>
                <w:sz w:val="20"/>
              </w:rPr>
              <w:t>M. Tang, S. Chen (Atlas Crossing); C. Gonzales (Exec. Chairman); R. Whitfield, L. Park (Independent)</w:t>
            </w:r>
          </w:p>
        </w:tc>
      </w:tr>
      <w:tr>
        <w:tc>
          <w:tcPr>
            <w:tcW w:type="dxa" w:w="2592"/>
            <w:vAlign w:val="center"/>
          </w:tcPr>
          <w:p>
            <w:r/>
            <w:r>
              <w:rPr>
                <w:sz w:val="20"/>
              </w:rPr>
              <w:t>Management</w:t>
            </w:r>
          </w:p>
        </w:tc>
        <w:tc>
          <w:tcPr>
            <w:tcW w:type="dxa" w:w="7488"/>
            <w:vAlign w:val="center"/>
          </w:tcPr>
          <w:p>
            <w:r/>
            <w:r>
              <w:rPr>
                <w:sz w:val="20"/>
              </w:rPr>
              <w:t>R. Gonzales (CFO); P. Vega (President &amp; COO); M. Torres (SVP Operations)</w:t>
            </w:r>
          </w:p>
        </w:tc>
      </w:tr>
      <w:tr>
        <w:tc>
          <w:tcPr>
            <w:tcW w:type="dxa" w:w="2592"/>
            <w:vAlign w:val="center"/>
          </w:tcPr>
          <w:p>
            <w:r/>
            <w:r>
              <w:rPr>
                <w:sz w:val="20"/>
              </w:rPr>
              <w:t>Observers</w:t>
            </w:r>
          </w:p>
        </w:tc>
        <w:tc>
          <w:tcPr>
            <w:tcW w:type="dxa" w:w="7488"/>
            <w:vAlign w:val="center"/>
          </w:tcPr>
          <w:p>
            <w:r/>
            <w:r>
              <w:rPr>
                <w:sz w:val="20"/>
              </w:rPr>
              <w:t>D. Okafor (Atlas Crossing — Principal)</w:t>
            </w:r>
          </w:p>
        </w:tc>
      </w:tr>
    </w:tbl>
    <w:p/>
    <w:p>
      <w:pPr>
        <w:pStyle w:val="Heading2"/>
      </w:pPr>
      <w:r>
        <w:rPr>
          <w:color w:val="1F2A44"/>
        </w:rPr>
        <w:t>Agenda</w:t>
      </w:r>
    </w:p>
    <w:p>
      <w:r>
        <w:t>1.  Call to order and quorum confirmation</w:t>
      </w:r>
    </w:p>
    <w:p>
      <w:r>
        <w:t>2.  Approval of prior meeting minutes</w:t>
      </w:r>
    </w:p>
    <w:p>
      <w:r>
        <w:t>3.  Executive Summary and quarterly highlights</w:t>
      </w:r>
    </w:p>
    <w:p>
      <w:r>
        <w:t>4.  Financial performance review</w:t>
      </w:r>
    </w:p>
    <w:p>
      <w:r>
        <w:t>5.  Operational KPI update</w:t>
      </w:r>
    </w:p>
    <w:p>
      <w:r>
        <w:t>6.  Strategic initiatives status</w:t>
      </w:r>
    </w:p>
    <w:p>
      <w:r>
        <w:t>7.  Risk review</w:t>
      </w:r>
    </w:p>
    <w:p>
      <w:r>
        <w:t>8.  Next quarter outlook and key actions</w:t>
      </w:r>
    </w:p>
    <w:p>
      <w:r>
        <w:t>9.  Other business / adjourn</w:t>
      </w:r>
    </w:p>
    <w:p/>
    <w:p>
      <w:pPr>
        <w:pStyle w:val="Heading1"/>
      </w:pPr>
      <w:r>
        <w:rPr>
          <w:color w:val="1F2A44"/>
        </w:rPr>
        <w:t>Executive Summary</w:t>
      </w:r>
    </w:p>
    <w:p>
      <w:r>
        <w:t>Wholesum delivered Q1 2026 revenue of $298.0M and EBITDA of $39.5M (13.2% margin), 3.8% ahead of budget. The HSR waiting period expired March 12 with no second request. The transaction is on track to close April 30, 2026. This is Wholesum's final board meeting as an Atlas Crossing portfolio company. The Gonzales family expressed gratitude to the Atlas Crossing team for a transformational three-and-a-half year partnership.</w:t>
      </w:r>
    </w:p>
    <w:p/>
    <w:p>
      <w:pPr>
        <w:pStyle w:val="Heading1"/>
      </w:pPr>
      <w:r>
        <w:rPr>
          <w:color w:val="1F2A44"/>
        </w:rPr>
        <w:t>Financial Performance</w:t>
      </w:r>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2592"/>
            <w:shd w:val="clear" w:color="auto" w:fill="1F2A44"/>
            <w:vAlign w:val="center"/>
          </w:tcPr>
          <w:p>
            <w:r/>
            <w:r>
              <w:rPr>
                <w:b/>
                <w:color w:val="FFFFFF"/>
                <w:sz w:val="20"/>
              </w:rPr>
              <w:t>Metric</w:t>
            </w:r>
          </w:p>
        </w:tc>
        <w:tc>
          <w:tcPr>
            <w:tcW w:type="dxa" w:w="1584"/>
            <w:shd w:val="clear" w:color="auto" w:fill="1F2A44"/>
            <w:vAlign w:val="center"/>
          </w:tcPr>
          <w:p>
            <w:r/>
            <w:r>
              <w:rPr>
                <w:b/>
                <w:color w:val="FFFFFF"/>
                <w:sz w:val="20"/>
              </w:rPr>
              <w:t>Q1 2026 Actual</w:t>
            </w:r>
          </w:p>
        </w:tc>
        <w:tc>
          <w:tcPr>
            <w:tcW w:type="dxa" w:w="1440"/>
            <w:shd w:val="clear" w:color="auto" w:fill="1F2A44"/>
            <w:vAlign w:val="center"/>
          </w:tcPr>
          <w:p>
            <w:r/>
            <w:r>
              <w:rPr>
                <w:b/>
                <w:color w:val="FFFFFF"/>
                <w:sz w:val="20"/>
              </w:rPr>
              <w:t>Budget</w:t>
            </w:r>
          </w:p>
        </w:tc>
        <w:tc>
          <w:tcPr>
            <w:tcW w:type="dxa" w:w="1440"/>
            <w:shd w:val="clear" w:color="auto" w:fill="1F2A44"/>
            <w:vAlign w:val="center"/>
          </w:tcPr>
          <w:p>
            <w:r/>
            <w:r>
              <w:rPr>
                <w:b/>
                <w:color w:val="FFFFFF"/>
                <w:sz w:val="20"/>
              </w:rPr>
              <w:t>Var. to Bud.</w:t>
            </w:r>
          </w:p>
        </w:tc>
        <w:tc>
          <w:tcPr>
            <w:tcW w:type="dxa" w:w="1584"/>
            <w:shd w:val="clear" w:color="auto" w:fill="1F2A44"/>
            <w:vAlign w:val="center"/>
          </w:tcPr>
          <w:p>
            <w:r/>
            <w:r>
              <w:rPr>
                <w:b/>
                <w:color w:val="FFFFFF"/>
                <w:sz w:val="20"/>
              </w:rPr>
              <w:t>Prior Year Qtr</w:t>
            </w:r>
          </w:p>
        </w:tc>
        <w:tc>
          <w:tcPr>
            <w:tcW w:type="dxa" w:w="1296"/>
            <w:shd w:val="clear" w:color="auto" w:fill="1F2A44"/>
            <w:vAlign w:val="center"/>
          </w:tcPr>
          <w:p>
            <w:r/>
            <w:r>
              <w:rPr>
                <w:b/>
                <w:color w:val="FFFFFF"/>
                <w:sz w:val="20"/>
              </w:rPr>
              <w:t>YoY</w:t>
            </w:r>
          </w:p>
        </w:tc>
      </w:tr>
      <w:tr>
        <w:tc>
          <w:tcPr>
            <w:tcW w:type="dxa" w:w="2592"/>
            <w:vAlign w:val="center"/>
          </w:tcPr>
          <w:p>
            <w:r/>
            <w:r>
              <w:rPr>
                <w:sz w:val="20"/>
              </w:rPr>
              <w:t>Revenue</w:t>
            </w:r>
          </w:p>
        </w:tc>
        <w:tc>
          <w:tcPr>
            <w:tcW w:type="dxa" w:w="1584"/>
            <w:vAlign w:val="center"/>
          </w:tcPr>
          <w:p>
            <w:r/>
            <w:r>
              <w:rPr>
                <w:sz w:val="20"/>
              </w:rPr>
              <w:t>$298.0M</w:t>
            </w:r>
          </w:p>
        </w:tc>
        <w:tc>
          <w:tcPr>
            <w:tcW w:type="dxa" w:w="1440"/>
            <w:vAlign w:val="center"/>
          </w:tcPr>
          <w:p>
            <w:r/>
            <w:r>
              <w:rPr>
                <w:sz w:val="20"/>
              </w:rPr>
              <w:t>$293.0M</w:t>
            </w:r>
          </w:p>
        </w:tc>
        <w:tc>
          <w:tcPr>
            <w:tcW w:type="dxa" w:w="1440"/>
            <w:vAlign w:val="center"/>
          </w:tcPr>
          <w:p>
            <w:r/>
            <w:r>
              <w:rPr>
                <w:sz w:val="20"/>
              </w:rPr>
              <w:t>+1.7%</w:t>
            </w:r>
          </w:p>
        </w:tc>
        <w:tc>
          <w:tcPr>
            <w:tcW w:type="dxa" w:w="1584"/>
            <w:vAlign w:val="center"/>
          </w:tcPr>
          <w:p>
            <w:r/>
            <w:r>
              <w:rPr>
                <w:sz w:val="20"/>
              </w:rPr>
              <w:t>$250.0M</w:t>
            </w:r>
          </w:p>
        </w:tc>
        <w:tc>
          <w:tcPr>
            <w:tcW w:type="dxa" w:w="1296"/>
            <w:vAlign w:val="center"/>
          </w:tcPr>
          <w:p>
            <w:r/>
            <w:r>
              <w:rPr>
                <w:sz w:val="20"/>
              </w:rPr>
              <w:t>+19.2%</w:t>
            </w:r>
          </w:p>
        </w:tc>
      </w:tr>
      <w:tr>
        <w:tc>
          <w:tcPr>
            <w:tcW w:type="dxa" w:w="2592"/>
            <w:vAlign w:val="center"/>
          </w:tcPr>
          <w:p>
            <w:r/>
            <w:r>
              <w:rPr>
                <w:sz w:val="20"/>
              </w:rPr>
              <w:t>Gross Profit</w:t>
            </w:r>
          </w:p>
        </w:tc>
        <w:tc>
          <w:tcPr>
            <w:tcW w:type="dxa" w:w="1584"/>
            <w:vAlign w:val="center"/>
          </w:tcPr>
          <w:p>
            <w:r/>
            <w:r>
              <w:rPr>
                <w:sz w:val="20"/>
              </w:rPr>
              <w:t>$62.6M</w:t>
            </w:r>
          </w:p>
        </w:tc>
        <w:tc>
          <w:tcPr>
            <w:tcW w:type="dxa" w:w="1440"/>
            <w:vAlign w:val="center"/>
          </w:tcPr>
          <w:p>
            <w:r/>
            <w:r>
              <w:rPr>
                <w:sz w:val="20"/>
              </w:rPr>
              <w:t>—</w:t>
            </w:r>
          </w:p>
        </w:tc>
        <w:tc>
          <w:tcPr>
            <w:tcW w:type="dxa" w:w="1440"/>
            <w:vAlign w:val="center"/>
          </w:tcPr>
          <w:p>
            <w:r/>
            <w:r>
              <w:rPr>
                <w:sz w:val="20"/>
              </w:rPr>
              <w:t>—</w:t>
            </w:r>
          </w:p>
        </w:tc>
        <w:tc>
          <w:tcPr>
            <w:tcW w:type="dxa" w:w="1584"/>
            <w:vAlign w:val="center"/>
          </w:tcPr>
          <w:p>
            <w:r/>
            <w:r>
              <w:rPr>
                <w:sz w:val="20"/>
              </w:rPr>
              <w:t>—</w:t>
            </w:r>
          </w:p>
        </w:tc>
        <w:tc>
          <w:tcPr>
            <w:tcW w:type="dxa" w:w="1296"/>
            <w:vAlign w:val="center"/>
          </w:tcPr>
          <w:p>
            <w:r/>
            <w:r>
              <w:rPr>
                <w:sz w:val="20"/>
              </w:rPr>
              <w:t>—</w:t>
            </w:r>
          </w:p>
        </w:tc>
      </w:tr>
      <w:tr>
        <w:tc>
          <w:tcPr>
            <w:tcW w:type="dxa" w:w="2592"/>
            <w:vAlign w:val="center"/>
          </w:tcPr>
          <w:p>
            <w:r/>
            <w:r>
              <w:rPr>
                <w:sz w:val="20"/>
              </w:rPr>
              <w:t>Gross Margin %</w:t>
            </w:r>
          </w:p>
        </w:tc>
        <w:tc>
          <w:tcPr>
            <w:tcW w:type="dxa" w:w="1584"/>
            <w:vAlign w:val="center"/>
          </w:tcPr>
          <w:p>
            <w:r/>
            <w:r>
              <w:rPr>
                <w:sz w:val="20"/>
              </w:rPr>
              <w:t>21.0%</w:t>
            </w:r>
          </w:p>
        </w:tc>
        <w:tc>
          <w:tcPr>
            <w:tcW w:type="dxa" w:w="1440"/>
            <w:vAlign w:val="center"/>
          </w:tcPr>
          <w:p>
            <w:r/>
            <w:r>
              <w:rPr>
                <w:sz w:val="20"/>
              </w:rPr>
              <w:t>—</w:t>
            </w:r>
          </w:p>
        </w:tc>
        <w:tc>
          <w:tcPr>
            <w:tcW w:type="dxa" w:w="1440"/>
            <w:vAlign w:val="center"/>
          </w:tcPr>
          <w:p>
            <w:r/>
            <w:r>
              <w:rPr>
                <w:sz w:val="20"/>
              </w:rPr>
              <w:t>—</w:t>
            </w:r>
          </w:p>
        </w:tc>
        <w:tc>
          <w:tcPr>
            <w:tcW w:type="dxa" w:w="1584"/>
            <w:vAlign w:val="center"/>
          </w:tcPr>
          <w:p>
            <w:r/>
            <w:r>
              <w:rPr>
                <w:sz w:val="20"/>
              </w:rPr>
              <w:t>—</w:t>
            </w:r>
          </w:p>
        </w:tc>
        <w:tc>
          <w:tcPr>
            <w:tcW w:type="dxa" w:w="1296"/>
            <w:vAlign w:val="center"/>
          </w:tcPr>
          <w:p>
            <w:r/>
            <w:r>
              <w:rPr>
                <w:sz w:val="20"/>
              </w:rPr>
              <w:t>—</w:t>
            </w:r>
          </w:p>
        </w:tc>
      </w:tr>
      <w:tr>
        <w:tc>
          <w:tcPr>
            <w:tcW w:type="dxa" w:w="2592"/>
            <w:vAlign w:val="center"/>
          </w:tcPr>
          <w:p>
            <w:r/>
            <w:r>
              <w:rPr>
                <w:sz w:val="20"/>
              </w:rPr>
              <w:t>EBITDA</w:t>
            </w:r>
          </w:p>
        </w:tc>
        <w:tc>
          <w:tcPr>
            <w:tcW w:type="dxa" w:w="1584"/>
            <w:vAlign w:val="center"/>
          </w:tcPr>
          <w:p>
            <w:r/>
            <w:r>
              <w:rPr>
                <w:sz w:val="20"/>
              </w:rPr>
              <w:t>$39.5M</w:t>
            </w:r>
          </w:p>
        </w:tc>
        <w:tc>
          <w:tcPr>
            <w:tcW w:type="dxa" w:w="1440"/>
            <w:vAlign w:val="center"/>
          </w:tcPr>
          <w:p>
            <w:r/>
            <w:r>
              <w:rPr>
                <w:sz w:val="20"/>
              </w:rPr>
              <w:t>$38.0M</w:t>
            </w:r>
          </w:p>
        </w:tc>
        <w:tc>
          <w:tcPr>
            <w:tcW w:type="dxa" w:w="1440"/>
            <w:vAlign w:val="center"/>
          </w:tcPr>
          <w:p>
            <w:r/>
            <w:r>
              <w:rPr>
                <w:sz w:val="20"/>
              </w:rPr>
              <w:t>+3.9%</w:t>
            </w:r>
          </w:p>
        </w:tc>
        <w:tc>
          <w:tcPr>
            <w:tcW w:type="dxa" w:w="1584"/>
            <w:vAlign w:val="center"/>
          </w:tcPr>
          <w:p>
            <w:r/>
            <w:r>
              <w:rPr>
                <w:sz w:val="20"/>
              </w:rPr>
              <w:t>$31.8M</w:t>
            </w:r>
          </w:p>
        </w:tc>
        <w:tc>
          <w:tcPr>
            <w:tcW w:type="dxa" w:w="1296"/>
            <w:vAlign w:val="center"/>
          </w:tcPr>
          <w:p>
            <w:r/>
            <w:r>
              <w:rPr>
                <w:sz w:val="20"/>
              </w:rPr>
              <w:t>+24.2%</w:t>
            </w:r>
          </w:p>
        </w:tc>
      </w:tr>
      <w:tr>
        <w:tc>
          <w:tcPr>
            <w:tcW w:type="dxa" w:w="2592"/>
            <w:vAlign w:val="center"/>
          </w:tcPr>
          <w:p>
            <w:r/>
            <w:r>
              <w:rPr>
                <w:sz w:val="20"/>
              </w:rPr>
              <w:t>EBITDA Margin %</w:t>
            </w:r>
          </w:p>
        </w:tc>
        <w:tc>
          <w:tcPr>
            <w:tcW w:type="dxa" w:w="1584"/>
            <w:vAlign w:val="center"/>
          </w:tcPr>
          <w:p>
            <w:r/>
            <w:r>
              <w:rPr>
                <w:sz w:val="20"/>
              </w:rPr>
              <w:t>13.3%</w:t>
            </w:r>
          </w:p>
        </w:tc>
        <w:tc>
          <w:tcPr>
            <w:tcW w:type="dxa" w:w="1440"/>
            <w:vAlign w:val="center"/>
          </w:tcPr>
          <w:p>
            <w:r/>
            <w:r>
              <w:rPr>
                <w:sz w:val="20"/>
              </w:rPr>
              <w:t>—</w:t>
            </w:r>
          </w:p>
        </w:tc>
        <w:tc>
          <w:tcPr>
            <w:tcW w:type="dxa" w:w="1440"/>
            <w:vAlign w:val="center"/>
          </w:tcPr>
          <w:p>
            <w:r/>
            <w:r>
              <w:rPr>
                <w:sz w:val="20"/>
              </w:rPr>
              <w:t>—</w:t>
            </w:r>
          </w:p>
        </w:tc>
        <w:tc>
          <w:tcPr>
            <w:tcW w:type="dxa" w:w="1584"/>
            <w:vAlign w:val="center"/>
          </w:tcPr>
          <w:p>
            <w:r/>
            <w:r>
              <w:rPr>
                <w:sz w:val="20"/>
              </w:rPr>
              <w:t>—</w:t>
            </w:r>
          </w:p>
        </w:tc>
        <w:tc>
          <w:tcPr>
            <w:tcW w:type="dxa" w:w="1296"/>
            <w:vAlign w:val="center"/>
          </w:tcPr>
          <w:p>
            <w:r/>
            <w:r>
              <w:rPr>
                <w:sz w:val="20"/>
              </w:rPr>
              <w:t>—</w:t>
            </w:r>
          </w:p>
        </w:tc>
      </w:tr>
      <w:tr>
        <w:tc>
          <w:tcPr>
            <w:tcW w:type="dxa" w:w="2592"/>
            <w:vAlign w:val="center"/>
          </w:tcPr>
          <w:p>
            <w:r/>
            <w:r>
              <w:rPr>
                <w:sz w:val="20"/>
              </w:rPr>
              <w:t>D&amp;A</w:t>
            </w:r>
          </w:p>
        </w:tc>
        <w:tc>
          <w:tcPr>
            <w:tcW w:type="dxa" w:w="1584"/>
            <w:vAlign w:val="center"/>
          </w:tcPr>
          <w:p>
            <w:r/>
            <w:r>
              <w:rPr>
                <w:sz w:val="20"/>
              </w:rPr>
              <w:t>($6.7M)</w:t>
            </w:r>
          </w:p>
        </w:tc>
        <w:tc>
          <w:tcPr>
            <w:tcW w:type="dxa" w:w="1440"/>
            <w:vAlign w:val="center"/>
          </w:tcPr>
          <w:p>
            <w:r/>
            <w:r>
              <w:rPr>
                <w:sz w:val="20"/>
              </w:rPr>
              <w:t>—</w:t>
            </w:r>
          </w:p>
        </w:tc>
        <w:tc>
          <w:tcPr>
            <w:tcW w:type="dxa" w:w="1440"/>
            <w:vAlign w:val="center"/>
          </w:tcPr>
          <w:p>
            <w:r/>
            <w:r>
              <w:rPr>
                <w:sz w:val="20"/>
              </w:rPr>
              <w:t>—</w:t>
            </w:r>
          </w:p>
        </w:tc>
        <w:tc>
          <w:tcPr>
            <w:tcW w:type="dxa" w:w="1584"/>
            <w:vAlign w:val="center"/>
          </w:tcPr>
          <w:p>
            <w:r/>
            <w:r>
              <w:rPr>
                <w:sz w:val="20"/>
              </w:rPr>
              <w:t>—</w:t>
            </w:r>
          </w:p>
        </w:tc>
        <w:tc>
          <w:tcPr>
            <w:tcW w:type="dxa" w:w="1296"/>
            <w:vAlign w:val="center"/>
          </w:tcPr>
          <w:p>
            <w:r/>
            <w:r>
              <w:rPr>
                <w:sz w:val="20"/>
              </w:rPr>
              <w:t>—</w:t>
            </w:r>
          </w:p>
        </w:tc>
      </w:tr>
      <w:tr>
        <w:tc>
          <w:tcPr>
            <w:tcW w:type="dxa" w:w="2592"/>
            <w:vAlign w:val="center"/>
          </w:tcPr>
          <w:p>
            <w:r/>
            <w:r>
              <w:rPr>
                <w:sz w:val="20"/>
              </w:rPr>
              <w:t>EBIT</w:t>
            </w:r>
          </w:p>
        </w:tc>
        <w:tc>
          <w:tcPr>
            <w:tcW w:type="dxa" w:w="1584"/>
            <w:vAlign w:val="center"/>
          </w:tcPr>
          <w:p>
            <w:r/>
            <w:r>
              <w:rPr>
                <w:sz w:val="20"/>
              </w:rPr>
              <w:t>$32.8M</w:t>
            </w:r>
          </w:p>
        </w:tc>
        <w:tc>
          <w:tcPr>
            <w:tcW w:type="dxa" w:w="1440"/>
            <w:vAlign w:val="center"/>
          </w:tcPr>
          <w:p>
            <w:r/>
            <w:r>
              <w:rPr>
                <w:sz w:val="20"/>
              </w:rPr>
              <w:t>—</w:t>
            </w:r>
          </w:p>
        </w:tc>
        <w:tc>
          <w:tcPr>
            <w:tcW w:type="dxa" w:w="1440"/>
            <w:vAlign w:val="center"/>
          </w:tcPr>
          <w:p>
            <w:r/>
            <w:r>
              <w:rPr>
                <w:sz w:val="20"/>
              </w:rPr>
              <w:t>—</w:t>
            </w:r>
          </w:p>
        </w:tc>
        <w:tc>
          <w:tcPr>
            <w:tcW w:type="dxa" w:w="1584"/>
            <w:vAlign w:val="center"/>
          </w:tcPr>
          <w:p>
            <w:r/>
            <w:r>
              <w:rPr>
                <w:sz w:val="20"/>
              </w:rPr>
              <w:t>—</w:t>
            </w:r>
          </w:p>
        </w:tc>
        <w:tc>
          <w:tcPr>
            <w:tcW w:type="dxa" w:w="1296"/>
            <w:vAlign w:val="center"/>
          </w:tcPr>
          <w:p>
            <w:r/>
            <w:r>
              <w:rPr>
                <w:sz w:val="20"/>
              </w:rPr>
              <w:t>—</w:t>
            </w:r>
          </w:p>
        </w:tc>
      </w:tr>
      <w:tr>
        <w:tc>
          <w:tcPr>
            <w:tcW w:type="dxa" w:w="2592"/>
            <w:vAlign w:val="center"/>
          </w:tcPr>
          <w:p>
            <w:r/>
            <w:r>
              <w:rPr>
                <w:sz w:val="20"/>
              </w:rPr>
              <w:t>Interest Expense</w:t>
            </w:r>
          </w:p>
        </w:tc>
        <w:tc>
          <w:tcPr>
            <w:tcW w:type="dxa" w:w="1584"/>
            <w:vAlign w:val="center"/>
          </w:tcPr>
          <w:p>
            <w:r/>
            <w:r>
              <w:rPr>
                <w:sz w:val="20"/>
              </w:rPr>
              <w:t>($7.0M)</w:t>
            </w:r>
          </w:p>
        </w:tc>
        <w:tc>
          <w:tcPr>
            <w:tcW w:type="dxa" w:w="1440"/>
            <w:vAlign w:val="center"/>
          </w:tcPr>
          <w:p>
            <w:r/>
            <w:r>
              <w:rPr>
                <w:sz w:val="20"/>
              </w:rPr>
              <w:t>—</w:t>
            </w:r>
          </w:p>
        </w:tc>
        <w:tc>
          <w:tcPr>
            <w:tcW w:type="dxa" w:w="1440"/>
            <w:vAlign w:val="center"/>
          </w:tcPr>
          <w:p>
            <w:r/>
            <w:r>
              <w:rPr>
                <w:sz w:val="20"/>
              </w:rPr>
              <w:t>—</w:t>
            </w:r>
          </w:p>
        </w:tc>
        <w:tc>
          <w:tcPr>
            <w:tcW w:type="dxa" w:w="1584"/>
            <w:vAlign w:val="center"/>
          </w:tcPr>
          <w:p>
            <w:r/>
            <w:r>
              <w:rPr>
                <w:sz w:val="20"/>
              </w:rPr>
              <w:t>—</w:t>
            </w:r>
          </w:p>
        </w:tc>
        <w:tc>
          <w:tcPr>
            <w:tcW w:type="dxa" w:w="1296"/>
            <w:vAlign w:val="center"/>
          </w:tcPr>
          <w:p>
            <w:r/>
            <w:r>
              <w:rPr>
                <w:sz w:val="20"/>
              </w:rPr>
              <w:t>—</w:t>
            </w:r>
          </w:p>
        </w:tc>
      </w:tr>
      <w:tr>
        <w:tc>
          <w:tcPr>
            <w:tcW w:type="dxa" w:w="2592"/>
            <w:vAlign w:val="center"/>
          </w:tcPr>
          <w:p>
            <w:r/>
            <w:r>
              <w:rPr>
                <w:sz w:val="20"/>
              </w:rPr>
              <w:t>Net Leverage</w:t>
            </w:r>
          </w:p>
        </w:tc>
        <w:tc>
          <w:tcPr>
            <w:tcW w:type="dxa" w:w="1584"/>
            <w:vAlign w:val="center"/>
          </w:tcPr>
          <w:p>
            <w:r/>
            <w:r>
              <w:rPr>
                <w:sz w:val="20"/>
              </w:rPr>
              <w:t>4.4x</w:t>
            </w:r>
          </w:p>
        </w:tc>
        <w:tc>
          <w:tcPr>
            <w:tcW w:type="dxa" w:w="1440"/>
            <w:vAlign w:val="center"/>
          </w:tcPr>
          <w:p>
            <w:r/>
            <w:r>
              <w:rPr>
                <w:sz w:val="20"/>
              </w:rPr>
              <w:t>—</w:t>
            </w:r>
          </w:p>
        </w:tc>
        <w:tc>
          <w:tcPr>
            <w:tcW w:type="dxa" w:w="1440"/>
            <w:vAlign w:val="center"/>
          </w:tcPr>
          <w:p>
            <w:r/>
            <w:r>
              <w:rPr>
                <w:sz w:val="20"/>
              </w:rPr>
              <w:t>—</w:t>
            </w:r>
          </w:p>
        </w:tc>
        <w:tc>
          <w:tcPr>
            <w:tcW w:type="dxa" w:w="1584"/>
            <w:vAlign w:val="center"/>
          </w:tcPr>
          <w:p>
            <w:r/>
            <w:r>
              <w:rPr>
                <w:sz w:val="20"/>
              </w:rPr>
              <w:t>Entry: 6.0x</w:t>
            </w:r>
          </w:p>
        </w:tc>
        <w:tc>
          <w:tcPr>
            <w:tcW w:type="dxa" w:w="1296"/>
            <w:vAlign w:val="center"/>
          </w:tcPr>
          <w:p>
            <w:r/>
            <w:r>
              <w:rPr>
                <w:sz w:val="20"/>
              </w:rPr>
              <w:t>—</w:t>
            </w:r>
          </w:p>
        </w:tc>
      </w:tr>
      <w:tr>
        <w:tc>
          <w:tcPr>
            <w:tcW w:type="dxa" w:w="2592"/>
            <w:vAlign w:val="center"/>
          </w:tcPr>
          <w:p>
            <w:r/>
            <w:r>
              <w:rPr>
                <w:sz w:val="20"/>
              </w:rPr>
              <w:t>LTM EBITDA</w:t>
            </w:r>
          </w:p>
        </w:tc>
        <w:tc>
          <w:tcPr>
            <w:tcW w:type="dxa" w:w="1584"/>
            <w:vAlign w:val="center"/>
          </w:tcPr>
          <w:p>
            <w:r/>
            <w:r>
              <w:rPr>
                <w:sz w:val="20"/>
              </w:rPr>
              <w:t>$153.2M</w:t>
            </w:r>
          </w:p>
        </w:tc>
        <w:tc>
          <w:tcPr>
            <w:tcW w:type="dxa" w:w="1440"/>
            <w:vAlign w:val="center"/>
          </w:tcPr>
          <w:p>
            <w:r/>
            <w:r>
              <w:rPr>
                <w:sz w:val="20"/>
              </w:rPr>
              <w:t>—</w:t>
            </w:r>
          </w:p>
        </w:tc>
        <w:tc>
          <w:tcPr>
            <w:tcW w:type="dxa" w:w="1440"/>
            <w:vAlign w:val="center"/>
          </w:tcPr>
          <w:p>
            <w:r/>
            <w:r>
              <w:rPr>
                <w:sz w:val="20"/>
              </w:rPr>
              <w:t>—</w:t>
            </w:r>
          </w:p>
        </w:tc>
        <w:tc>
          <w:tcPr>
            <w:tcW w:type="dxa" w:w="1584"/>
            <w:vAlign w:val="center"/>
          </w:tcPr>
          <w:p>
            <w:r/>
            <w:r>
              <w:rPr>
                <w:sz w:val="20"/>
              </w:rPr>
              <w:t>Entry: $72.4M</w:t>
            </w:r>
          </w:p>
        </w:tc>
        <w:tc>
          <w:tcPr>
            <w:tcW w:type="dxa" w:w="1296"/>
            <w:vAlign w:val="center"/>
          </w:tcPr>
          <w:p>
            <w:r/>
            <w:r>
              <w:rPr>
                <w:sz w:val="20"/>
              </w:rPr>
              <w:t>—</w:t>
            </w:r>
          </w:p>
        </w:tc>
      </w:tr>
    </w:tbl>
    <w:p/>
    <w:p>
      <w:pPr>
        <w:pStyle w:val="Heading1"/>
      </w:pPr>
      <w:r>
        <w:rPr>
          <w:color w:val="1F2A44"/>
        </w:rPr>
        <w:t>Operational KPIs</w:t>
      </w:r>
    </w:p>
    <w:tbl>
      <w:tblPr>
        <w:tblStyle w:val="LightGrid-Accent1"/>
        <w:tblW w:type="auto" w:w="0"/>
        <w:tblLook w:firstColumn="1" w:firstRow="1" w:lastColumn="0" w:lastRow="0" w:noHBand="0" w:noVBand="1" w:val="04A0"/>
      </w:tblPr>
      <w:tblGrid>
        <w:gridCol w:w="2340"/>
        <w:gridCol w:w="2340"/>
        <w:gridCol w:w="2340"/>
        <w:gridCol w:w="2340"/>
      </w:tblGrid>
      <w:tr>
        <w:tc>
          <w:tcPr>
            <w:tcW w:type="dxa" w:w="2880"/>
            <w:shd w:val="clear" w:color="auto" w:fill="1F2A44"/>
            <w:vAlign w:val="center"/>
          </w:tcPr>
          <w:p>
            <w:r/>
            <w:r>
              <w:rPr>
                <w:b/>
                <w:color w:val="FFFFFF"/>
                <w:sz w:val="20"/>
              </w:rPr>
              <w:t>KPI</w:t>
            </w:r>
          </w:p>
        </w:tc>
        <w:tc>
          <w:tcPr>
            <w:tcW w:type="dxa" w:w="2160"/>
            <w:shd w:val="clear" w:color="auto" w:fill="1F2A44"/>
            <w:vAlign w:val="center"/>
          </w:tcPr>
          <w:p>
            <w:r/>
            <w:r>
              <w:rPr>
                <w:b/>
                <w:color w:val="FFFFFF"/>
                <w:sz w:val="20"/>
              </w:rPr>
              <w:t>Current Quarter</w:t>
            </w:r>
          </w:p>
        </w:tc>
        <w:tc>
          <w:tcPr>
            <w:tcW w:type="dxa" w:w="2160"/>
            <w:shd w:val="clear" w:color="auto" w:fill="1F2A44"/>
            <w:vAlign w:val="center"/>
          </w:tcPr>
          <w:p>
            <w:r/>
            <w:r>
              <w:rPr>
                <w:b/>
                <w:color w:val="FFFFFF"/>
                <w:sz w:val="20"/>
              </w:rPr>
              <w:t>Entry Baseline</w:t>
            </w:r>
          </w:p>
        </w:tc>
        <w:tc>
          <w:tcPr>
            <w:tcW w:type="dxa" w:w="2736"/>
            <w:shd w:val="clear" w:color="auto" w:fill="1F2A44"/>
            <w:vAlign w:val="center"/>
          </w:tcPr>
          <w:p>
            <w:r/>
            <w:r>
              <w:rPr>
                <w:b/>
                <w:color w:val="FFFFFF"/>
                <w:sz w:val="20"/>
              </w:rPr>
              <w:t>Progress</w:t>
            </w:r>
          </w:p>
        </w:tc>
      </w:tr>
      <w:tr>
        <w:tc>
          <w:tcPr>
            <w:tcW w:type="dxa" w:w="2880"/>
            <w:vAlign w:val="center"/>
          </w:tcPr>
          <w:p>
            <w:r/>
            <w:r>
              <w:rPr>
                <w:sz w:val="20"/>
              </w:rPr>
              <w:t>Total Customers</w:t>
            </w:r>
          </w:p>
        </w:tc>
        <w:tc>
          <w:tcPr>
            <w:tcW w:type="dxa" w:w="2160"/>
            <w:vAlign w:val="center"/>
          </w:tcPr>
          <w:p>
            <w:r/>
            <w:r>
              <w:rPr>
                <w:sz w:val="20"/>
              </w:rPr>
              <w:t>5,310</w:t>
            </w:r>
          </w:p>
        </w:tc>
        <w:tc>
          <w:tcPr>
            <w:tcW w:type="dxa" w:w="2160"/>
            <w:vAlign w:val="center"/>
          </w:tcPr>
          <w:p>
            <w:r/>
            <w:r>
              <w:rPr>
                <w:sz w:val="20"/>
              </w:rPr>
              <w:t>3,500</w:t>
            </w:r>
          </w:p>
        </w:tc>
        <w:tc>
          <w:tcPr>
            <w:tcW w:type="dxa" w:w="2736"/>
            <w:vAlign w:val="center"/>
          </w:tcPr>
          <w:p>
            <w:r/>
            <w:r>
              <w:rPr>
                <w:sz w:val="20"/>
              </w:rPr>
              <w:t>+1,810 incremental</w:t>
            </w:r>
          </w:p>
        </w:tc>
      </w:tr>
      <w:tr>
        <w:tc>
          <w:tcPr>
            <w:tcW w:type="dxa" w:w="2880"/>
            <w:vAlign w:val="center"/>
          </w:tcPr>
          <w:p>
            <w:r/>
            <w:r>
              <w:rPr>
                <w:sz w:val="20"/>
              </w:rPr>
              <w:t>Distribution Centers</w:t>
            </w:r>
          </w:p>
        </w:tc>
        <w:tc>
          <w:tcPr>
            <w:tcW w:type="dxa" w:w="2160"/>
            <w:vAlign w:val="center"/>
          </w:tcPr>
          <w:p>
            <w:r/>
            <w:r>
              <w:rPr>
                <w:sz w:val="20"/>
              </w:rPr>
              <w:t>17</w:t>
            </w:r>
          </w:p>
        </w:tc>
        <w:tc>
          <w:tcPr>
            <w:tcW w:type="dxa" w:w="2160"/>
            <w:vAlign w:val="center"/>
          </w:tcPr>
          <w:p>
            <w:r/>
            <w:r>
              <w:rPr>
                <w:sz w:val="20"/>
              </w:rPr>
              <w:t>12 DCs</w:t>
            </w:r>
          </w:p>
        </w:tc>
        <w:tc>
          <w:tcPr>
            <w:tcW w:type="dxa" w:w="2736"/>
            <w:vAlign w:val="center"/>
          </w:tcPr>
          <w:p>
            <w:r/>
            <w:r>
              <w:rPr>
                <w:sz w:val="20"/>
              </w:rPr>
              <w:t>+5 DCs from bolt-ons</w:t>
            </w:r>
          </w:p>
        </w:tc>
      </w:tr>
      <w:tr>
        <w:tc>
          <w:tcPr>
            <w:tcW w:type="dxa" w:w="2880"/>
            <w:vAlign w:val="center"/>
          </w:tcPr>
          <w:p>
            <w:r/>
            <w:r>
              <w:rPr>
                <w:sz w:val="20"/>
              </w:rPr>
              <w:t>Private Label % of Rev.</w:t>
            </w:r>
          </w:p>
        </w:tc>
        <w:tc>
          <w:tcPr>
            <w:tcW w:type="dxa" w:w="2160"/>
            <w:vAlign w:val="center"/>
          </w:tcPr>
          <w:p>
            <w:r/>
            <w:r>
              <w:rPr>
                <w:sz w:val="20"/>
              </w:rPr>
              <w:t>16.5%</w:t>
            </w:r>
          </w:p>
        </w:tc>
        <w:tc>
          <w:tcPr>
            <w:tcW w:type="dxa" w:w="2160"/>
            <w:vAlign w:val="center"/>
          </w:tcPr>
          <w:p>
            <w:r/>
            <w:r>
              <w:rPr>
                <w:sz w:val="20"/>
              </w:rPr>
              <w:t>8.0%</w:t>
            </w:r>
          </w:p>
        </w:tc>
        <w:tc>
          <w:tcPr>
            <w:tcW w:type="dxa" w:w="2736"/>
            <w:vAlign w:val="center"/>
          </w:tcPr>
          <w:p>
            <w:r/>
            <w:r>
              <w:rPr>
                <w:sz w:val="20"/>
              </w:rPr>
              <w:t>Target: 18% by exit</w:t>
            </w:r>
          </w:p>
        </w:tc>
      </w:tr>
      <w:tr>
        <w:tc>
          <w:tcPr>
            <w:tcW w:type="dxa" w:w="2880"/>
            <w:vAlign w:val="center"/>
          </w:tcPr>
          <w:p>
            <w:r/>
            <w:r>
              <w:rPr>
                <w:sz w:val="20"/>
              </w:rPr>
              <w:t>Revenue per Customer</w:t>
            </w:r>
          </w:p>
        </w:tc>
        <w:tc>
          <w:tcPr>
            <w:tcW w:type="dxa" w:w="2160"/>
            <w:vAlign w:val="center"/>
          </w:tcPr>
          <w:p>
            <w:r/>
            <w:r>
              <w:rPr>
                <w:sz w:val="20"/>
              </w:rPr>
              <w:t>$56.1K</w:t>
            </w:r>
          </w:p>
        </w:tc>
        <w:tc>
          <w:tcPr>
            <w:tcW w:type="dxa" w:w="2160"/>
            <w:vAlign w:val="center"/>
          </w:tcPr>
          <w:p>
            <w:r/>
            <w:r>
              <w:rPr>
                <w:sz w:val="20"/>
              </w:rPr>
              <w:t>—</w:t>
            </w:r>
          </w:p>
        </w:tc>
        <w:tc>
          <w:tcPr>
            <w:tcW w:type="dxa" w:w="2736"/>
            <w:vAlign w:val="center"/>
          </w:tcPr>
          <w:p>
            <w:r/>
            <w:r>
              <w:rPr>
                <w:sz w:val="20"/>
              </w:rPr>
              <w:t>—</w:t>
            </w:r>
          </w:p>
        </w:tc>
      </w:tr>
      <w:tr>
        <w:tc>
          <w:tcPr>
            <w:tcW w:type="dxa" w:w="2880"/>
            <w:vAlign w:val="center"/>
          </w:tcPr>
          <w:p>
            <w:r/>
            <w:r>
              <w:rPr>
                <w:sz w:val="20"/>
              </w:rPr>
              <w:t>EBITDA per DC</w:t>
            </w:r>
          </w:p>
        </w:tc>
        <w:tc>
          <w:tcPr>
            <w:tcW w:type="dxa" w:w="2160"/>
            <w:vAlign w:val="center"/>
          </w:tcPr>
          <w:p>
            <w:r/>
            <w:r>
              <w:rPr>
                <w:sz w:val="20"/>
              </w:rPr>
              <w:t>$2.32M</w:t>
            </w:r>
          </w:p>
        </w:tc>
        <w:tc>
          <w:tcPr>
            <w:tcW w:type="dxa" w:w="2160"/>
            <w:vAlign w:val="center"/>
          </w:tcPr>
          <w:p>
            <w:r/>
            <w:r>
              <w:rPr>
                <w:sz w:val="20"/>
              </w:rPr>
              <w:t>—</w:t>
            </w:r>
          </w:p>
        </w:tc>
        <w:tc>
          <w:tcPr>
            <w:tcW w:type="dxa" w:w="2736"/>
            <w:vAlign w:val="center"/>
          </w:tcPr>
          <w:p>
            <w:r/>
            <w:r>
              <w:rPr>
                <w:sz w:val="20"/>
              </w:rPr>
              <w:t>—</w:t>
            </w:r>
          </w:p>
        </w:tc>
      </w:tr>
      <w:tr>
        <w:tc>
          <w:tcPr>
            <w:tcW w:type="dxa" w:w="2880"/>
            <w:vAlign w:val="center"/>
          </w:tcPr>
          <w:p>
            <w:r/>
            <w:r>
              <w:rPr>
                <w:sz w:val="20"/>
              </w:rPr>
              <w:t>Net Leverage</w:t>
            </w:r>
          </w:p>
        </w:tc>
        <w:tc>
          <w:tcPr>
            <w:tcW w:type="dxa" w:w="2160"/>
            <w:vAlign w:val="center"/>
          </w:tcPr>
          <w:p>
            <w:r/>
            <w:r>
              <w:rPr>
                <w:sz w:val="20"/>
              </w:rPr>
              <w:t>4.4x</w:t>
            </w:r>
          </w:p>
        </w:tc>
        <w:tc>
          <w:tcPr>
            <w:tcW w:type="dxa" w:w="2160"/>
            <w:vAlign w:val="center"/>
          </w:tcPr>
          <w:p>
            <w:r/>
            <w:r>
              <w:rPr>
                <w:sz w:val="20"/>
              </w:rPr>
              <w:t>6.0x</w:t>
            </w:r>
          </w:p>
        </w:tc>
        <w:tc>
          <w:tcPr>
            <w:tcW w:type="dxa" w:w="2736"/>
            <w:vAlign w:val="center"/>
          </w:tcPr>
          <w:p>
            <w:r/>
            <w:r>
              <w:rPr>
                <w:sz w:val="20"/>
              </w:rPr>
              <w:t>Covenant: ≤7.5x</w:t>
            </w:r>
          </w:p>
        </w:tc>
      </w:tr>
    </w:tbl>
    <w:p/>
    <w:p>
      <w:pPr>
        <w:pStyle w:val="Heading1"/>
      </w:pPr>
      <w:r>
        <w:rPr>
          <w:color w:val="1F2A44"/>
        </w:rPr>
        <w:t>Strategic Initiatives</w:t>
      </w:r>
    </w:p>
    <w:tbl>
      <w:tblPr>
        <w:tblStyle w:val="LightGrid-Accent1"/>
        <w:tblW w:type="auto" w:w="0"/>
        <w:tblLook w:firstColumn="1" w:firstRow="1" w:lastColumn="0" w:lastRow="0" w:noHBand="0" w:noVBand="1" w:val="04A0"/>
      </w:tblPr>
      <w:tblGrid>
        <w:gridCol w:w="3120"/>
        <w:gridCol w:w="3120"/>
        <w:gridCol w:w="3120"/>
      </w:tblGrid>
      <w:tr>
        <w:tc>
          <w:tcPr>
            <w:tcW w:type="dxa" w:w="3168"/>
            <w:shd w:val="clear" w:color="auto" w:fill="1F2A44"/>
            <w:vAlign w:val="center"/>
          </w:tcPr>
          <w:p>
            <w:r/>
            <w:r>
              <w:rPr>
                <w:b/>
                <w:color w:val="FFFFFF"/>
                <w:sz w:val="20"/>
              </w:rPr>
              <w:t>Initiative</w:t>
            </w:r>
          </w:p>
        </w:tc>
        <w:tc>
          <w:tcPr>
            <w:tcW w:type="dxa" w:w="2160"/>
            <w:shd w:val="clear" w:color="auto" w:fill="1F2A44"/>
            <w:vAlign w:val="center"/>
          </w:tcPr>
          <w:p>
            <w:r/>
            <w:r>
              <w:rPr>
                <w:b/>
                <w:color w:val="FFFFFF"/>
                <w:sz w:val="20"/>
              </w:rPr>
              <w:t>Status</w:t>
            </w:r>
          </w:p>
        </w:tc>
        <w:tc>
          <w:tcPr>
            <w:tcW w:type="dxa" w:w="4608"/>
            <w:shd w:val="clear" w:color="auto" w:fill="1F2A44"/>
            <w:vAlign w:val="center"/>
          </w:tcPr>
          <w:p>
            <w:r/>
            <w:r>
              <w:rPr>
                <w:b/>
                <w:color w:val="FFFFFF"/>
                <w:sz w:val="20"/>
              </w:rPr>
              <w:t>Detail</w:t>
            </w:r>
          </w:p>
        </w:tc>
      </w:tr>
      <w:tr>
        <w:tc>
          <w:tcPr>
            <w:tcW w:type="dxa" w:w="3168"/>
            <w:vAlign w:val="center"/>
          </w:tcPr>
          <w:p>
            <w:r/>
            <w:r>
              <w:rPr>
                <w:sz w:val="20"/>
              </w:rPr>
              <w:t>Transaction close</w:t>
            </w:r>
          </w:p>
        </w:tc>
        <w:tc>
          <w:tcPr>
            <w:tcW w:type="dxa" w:w="2160"/>
            <w:vAlign w:val="center"/>
          </w:tcPr>
          <w:p>
            <w:r/>
            <w:r>
              <w:rPr>
                <w:sz w:val="20"/>
              </w:rPr>
              <w:t>On track Apr 30</w:t>
            </w:r>
          </w:p>
        </w:tc>
        <w:tc>
          <w:tcPr>
            <w:tcW w:type="dxa" w:w="4608"/>
            <w:vAlign w:val="center"/>
          </w:tcPr>
          <w:p>
            <w:r/>
            <w:r>
              <w:rPr>
                <w:sz w:val="20"/>
              </w:rPr>
              <w:t>HSR cleared Mar 12; financing confirmed; wire instructions set</w:t>
            </w:r>
          </w:p>
        </w:tc>
      </w:tr>
      <w:tr>
        <w:tc>
          <w:tcPr>
            <w:tcW w:type="dxa" w:w="3168"/>
            <w:vAlign w:val="center"/>
          </w:tcPr>
          <w:p>
            <w:r/>
            <w:r>
              <w:rPr>
                <w:sz w:val="20"/>
              </w:rPr>
              <w:t>Employee communication</w:t>
            </w:r>
          </w:p>
        </w:tc>
        <w:tc>
          <w:tcPr>
            <w:tcW w:type="dxa" w:w="2160"/>
            <w:vAlign w:val="center"/>
          </w:tcPr>
          <w:p>
            <w:r/>
            <w:r>
              <w:rPr>
                <w:sz w:val="20"/>
              </w:rPr>
              <w:t>Completed</w:t>
            </w:r>
          </w:p>
        </w:tc>
        <w:tc>
          <w:tcPr>
            <w:tcW w:type="dxa" w:w="4608"/>
            <w:vAlign w:val="center"/>
          </w:tcPr>
          <w:p>
            <w:r/>
            <w:r>
              <w:rPr>
                <w:sz w:val="20"/>
              </w:rPr>
              <w:t>All-hands at all 17 DCs; retention high</w:t>
            </w:r>
          </w:p>
        </w:tc>
      </w:tr>
      <w:tr>
        <w:tc>
          <w:tcPr>
            <w:tcW w:type="dxa" w:w="3168"/>
            <w:vAlign w:val="center"/>
          </w:tcPr>
          <w:p>
            <w:r/>
            <w:r>
              <w:rPr>
                <w:sz w:val="20"/>
              </w:rPr>
              <w:t>Private label</w:t>
            </w:r>
          </w:p>
        </w:tc>
        <w:tc>
          <w:tcPr>
            <w:tcW w:type="dxa" w:w="2160"/>
            <w:vAlign w:val="center"/>
          </w:tcPr>
          <w:p>
            <w:r/>
            <w:r>
              <w:rPr>
                <w:sz w:val="20"/>
              </w:rPr>
              <w:t>Above target</w:t>
            </w:r>
          </w:p>
        </w:tc>
        <w:tc>
          <w:tcPr>
            <w:tcW w:type="dxa" w:w="4608"/>
            <w:vAlign w:val="center"/>
          </w:tcPr>
          <w:p>
            <w:r/>
            <w:r>
              <w:rPr>
                <w:sz w:val="20"/>
              </w:rPr>
              <w:t>99 SKUs; 16.5% of revenue — above 16% exit target</w:t>
            </w:r>
          </w:p>
        </w:tc>
      </w:tr>
      <w:tr>
        <w:tc>
          <w:tcPr>
            <w:tcW w:type="dxa" w:w="3168"/>
            <w:vAlign w:val="center"/>
          </w:tcPr>
          <w:p>
            <w:r/>
            <w:r>
              <w:rPr>
                <w:sz w:val="20"/>
              </w:rPr>
              <w:t>Buyer 100-day plan</w:t>
            </w:r>
          </w:p>
        </w:tc>
        <w:tc>
          <w:tcPr>
            <w:tcW w:type="dxa" w:w="2160"/>
            <w:vAlign w:val="center"/>
          </w:tcPr>
          <w:p>
            <w:r/>
            <w:r>
              <w:rPr>
                <w:sz w:val="20"/>
              </w:rPr>
              <w:t>Handed over</w:t>
            </w:r>
          </w:p>
        </w:tc>
        <w:tc>
          <w:tcPr>
            <w:tcW w:type="dxa" w:w="4608"/>
            <w:vAlign w:val="center"/>
          </w:tcPr>
          <w:p>
            <w:r/>
            <w:r>
              <w:rPr>
                <w:sz w:val="20"/>
              </w:rPr>
              <w:t>100-day integration plan presented to buyer management Apr 1</w:t>
            </w:r>
          </w:p>
        </w:tc>
      </w:tr>
    </w:tbl>
    <w:p/>
    <w:p>
      <w:pPr>
        <w:pStyle w:val="Heading1"/>
      </w:pPr>
      <w:r>
        <w:rPr>
          <w:color w:val="1F2A44"/>
        </w:rPr>
        <w:t>Key Risks &amp; Mitigation</w:t>
      </w:r>
    </w:p>
    <w:tbl>
      <w:tblPr>
        <w:tblStyle w:val="LightGrid-Accent1"/>
        <w:tblW w:type="auto" w:w="0"/>
        <w:tblLook w:firstColumn="1" w:firstRow="1" w:lastColumn="0" w:lastRow="0" w:noHBand="0" w:noVBand="1" w:val="04A0"/>
      </w:tblPr>
      <w:tblGrid>
        <w:gridCol w:w="3120"/>
        <w:gridCol w:w="3120"/>
        <w:gridCol w:w="3120"/>
      </w:tblGrid>
      <w:tr>
        <w:tc>
          <w:tcPr>
            <w:tcW w:type="dxa" w:w="2880"/>
            <w:shd w:val="clear" w:color="auto" w:fill="1F2A44"/>
            <w:vAlign w:val="center"/>
          </w:tcPr>
          <w:p>
            <w:r/>
            <w:r>
              <w:rPr>
                <w:b/>
                <w:color w:val="FFFFFF"/>
                <w:sz w:val="20"/>
              </w:rPr>
              <w:t>Risk</w:t>
            </w:r>
          </w:p>
        </w:tc>
        <w:tc>
          <w:tcPr>
            <w:tcW w:type="dxa" w:w="1440"/>
            <w:shd w:val="clear" w:color="auto" w:fill="1F2A44"/>
            <w:vAlign w:val="center"/>
          </w:tcPr>
          <w:p>
            <w:r/>
            <w:r>
              <w:rPr>
                <w:b/>
                <w:color w:val="FFFFFF"/>
                <w:sz w:val="20"/>
              </w:rPr>
              <w:t>Severity</w:t>
            </w:r>
          </w:p>
        </w:tc>
        <w:tc>
          <w:tcPr>
            <w:tcW w:type="dxa" w:w="5616"/>
            <w:shd w:val="clear" w:color="auto" w:fill="1F2A44"/>
            <w:vAlign w:val="center"/>
          </w:tcPr>
          <w:p>
            <w:r/>
            <w:r>
              <w:rPr>
                <w:b/>
                <w:color w:val="FFFFFF"/>
                <w:sz w:val="20"/>
              </w:rPr>
              <w:t>Mitigation</w:t>
            </w:r>
          </w:p>
        </w:tc>
      </w:tr>
      <w:tr>
        <w:tc>
          <w:tcPr>
            <w:tcW w:type="dxa" w:w="2880"/>
            <w:vAlign w:val="center"/>
          </w:tcPr>
          <w:p>
            <w:r/>
            <w:r>
              <w:rPr>
                <w:sz w:val="20"/>
              </w:rPr>
              <w:t>Close execution</w:t>
            </w:r>
          </w:p>
        </w:tc>
        <w:tc>
          <w:tcPr>
            <w:tcW w:type="dxa" w:w="1440"/>
            <w:vAlign w:val="center"/>
          </w:tcPr>
          <w:p>
            <w:r/>
            <w:r>
              <w:rPr>
                <w:sz w:val="20"/>
              </w:rPr>
              <w:t>Very Low</w:t>
            </w:r>
          </w:p>
        </w:tc>
        <w:tc>
          <w:tcPr>
            <w:tcW w:type="dxa" w:w="5616"/>
            <w:vAlign w:val="center"/>
          </w:tcPr>
          <w:p>
            <w:r/>
            <w:r>
              <w:rPr>
                <w:sz w:val="20"/>
              </w:rPr>
              <w:t>All conditions satisfied; wire expected April 30</w:t>
            </w:r>
          </w:p>
        </w:tc>
      </w:tr>
      <w:tr>
        <w:tc>
          <w:tcPr>
            <w:tcW w:type="dxa" w:w="2880"/>
            <w:vAlign w:val="center"/>
          </w:tcPr>
          <w:p>
            <w:r/>
            <w:r>
              <w:rPr>
                <w:sz w:val="20"/>
              </w:rPr>
              <w:t>Q1 performance</w:t>
            </w:r>
          </w:p>
        </w:tc>
        <w:tc>
          <w:tcPr>
            <w:tcW w:type="dxa" w:w="1440"/>
            <w:vAlign w:val="center"/>
          </w:tcPr>
          <w:p>
            <w:r/>
            <w:r>
              <w:rPr>
                <w:sz w:val="20"/>
              </w:rPr>
              <w:t>Positive</w:t>
            </w:r>
          </w:p>
        </w:tc>
        <w:tc>
          <w:tcPr>
            <w:tcW w:type="dxa" w:w="5616"/>
            <w:vAlign w:val="center"/>
          </w:tcPr>
          <w:p>
            <w:r/>
            <w:r>
              <w:rPr>
                <w:sz w:val="20"/>
              </w:rPr>
              <w:t>3.8% revenue beat; 3.9% EBITDA beat</w:t>
            </w:r>
          </w:p>
        </w:tc>
      </w:tr>
      <w:tr>
        <w:tc>
          <w:tcPr>
            <w:tcW w:type="dxa" w:w="2880"/>
            <w:vAlign w:val="center"/>
          </w:tcPr>
          <w:p>
            <w:r/>
            <w:r>
              <w:rPr>
                <w:sz w:val="20"/>
              </w:rPr>
              <w:t>Post-close transition</w:t>
            </w:r>
          </w:p>
        </w:tc>
        <w:tc>
          <w:tcPr>
            <w:tcW w:type="dxa" w:w="1440"/>
            <w:vAlign w:val="center"/>
          </w:tcPr>
          <w:p>
            <w:r/>
            <w:r>
              <w:rPr>
                <w:sz w:val="20"/>
              </w:rPr>
              <w:t>Low</w:t>
            </w:r>
          </w:p>
        </w:tc>
        <w:tc>
          <w:tcPr>
            <w:tcW w:type="dxa" w:w="5616"/>
            <w:vAlign w:val="center"/>
          </w:tcPr>
          <w:p>
            <w:r/>
            <w:r>
              <w:rPr>
                <w:sz w:val="20"/>
              </w:rPr>
              <w:t>11 key managers under transition agreements</w:t>
            </w:r>
          </w:p>
        </w:tc>
      </w:tr>
    </w:tbl>
    <w:p/>
    <w:p>
      <w:pPr>
        <w:pStyle w:val="Heading1"/>
      </w:pPr>
      <w:r>
        <w:rPr>
          <w:color w:val="1F2A44"/>
        </w:rPr>
        <w:t>Next Quarter Outlook</w:t>
      </w:r>
    </w:p>
    <w:p>
      <w:r>
        <w:t>Transaction close April 30, 2026. Final Fund III LP distributions within 10 business days of close. Gross MOIC estimated ~2.3x; Gross IRR ~18–19%. This is the final Wholesum board package.</w:t>
      </w:r>
    </w:p>
    <w:p/>
    <w:p>
      <w:r>
        <w:rPr>
          <w:i/>
          <w:color w:val="666666"/>
          <w:sz w:val="18"/>
        </w:rPr>
        <w:t>This document is confidential and has been prepared solely for use by the Board of Directors of Wholesum Foods Distribution, Inc. and Atlas Crossing Partners. Not for distribution.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