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Wholesum Foods Distribution, Inc. — Q4 2022</w:t>
      </w:r>
    </w:p>
    <w:p>
      <w:r>
        <w:rPr>
          <w:b w:val="0"/>
          <w:color w:val="666666"/>
          <w:sz w:val="20"/>
        </w:rPr>
        <w:t>Board Meeting: February 9, 2023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9, 2023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Gonzales (Exec. Chairman); R. Whitfield, L. Park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R. Gonzales (CFO); P. Vega (President &amp; COO); M. Torres (SVP Operations)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Observers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D. Okafor (Atlas Crossing — Principal)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quarterly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 and key actions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Wholesum closed FY2022 with Q4 revenue of $171.0M and EBITDA of $18.9M (11.1% margin), both beating budget. Combined H2 2022 (first two post-close quarters): revenue $334.0M, EBITDA $36.3M. The Crescent Bay Foods definitive agreement was signed November 28 and is expected to close in February 2023. ERP Phase 1 was completed across all 12 DCs on December 19, three days ahead of schedule.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2022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$171.0M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$167.0M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+2.4%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$31.6M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$18.0M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11.1%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 Expense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($8.0M)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5.8x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6.0x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$71.7M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$72.4M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273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Progress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Total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3,580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3,500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+80 incremental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Distribution Centers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 DCs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+0 DCs from bolt-ons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Private Label % of Rev.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8.0%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Target: 18% by exit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Revenue per Customer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$47.8K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EBITDA per DC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$1.57M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5.8x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Covenant: ≤7.5x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ERP / NetSuite rollout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 (Phase 1)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All 12 DCs live Dec 19; Phase 2 (WMS) begins Q1 2023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First 24 SKUs approved; production begins Q1 2023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Procurement re-bid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Awards executed; $2.1M annualized savings from Feb 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Crescent Bay acquisition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DA signed Nov 28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HSR filed Dec 2; close expected Feb 2023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Crescent Bay HSR risk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No product/geography overlap; 30-day review expected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inflation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Commodity surcharge program covers 82% of revenue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Private label launch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Co-packer agreements signed; test-market Q2 2023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Crescent Bay close expected February 2023, adding ~$36M annualized revenue and 2 DCs. FY2023 plan: $765M revenue, $87M EBITDA. Private label first SKUs to shelf Q2 2023.</w:t>
      </w:r>
    </w:p>
    <w:p/>
    <w:p>
      <w:r>
        <w:rPr>
          <w:i/>
          <w:color w:val="666666"/>
          <w:sz w:val="18"/>
        </w:rPr>
        <w:t>This document is confidential and has been prepared solely for use by the Board of Directors of Wholesum Foods Distribution, Inc.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