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2"/>
        </w:rPr>
        <w:t>ATLAS CROSSING PARTNERS — FUND III</w:t>
      </w:r>
    </w:p>
    <w:p>
      <w:r>
        <w:rPr>
          <w:b/>
          <w:color w:val="1F2A44"/>
          <w:sz w:val="44"/>
        </w:rPr>
        <w:t>Board of Directors Package</w:t>
      </w:r>
    </w:p>
    <w:p>
      <w:r>
        <w:rPr>
          <w:b w:val="0"/>
          <w:color w:val="1F2A44"/>
          <w:sz w:val="32"/>
        </w:rPr>
        <w:t>Wholesum Foods Distribution, Inc. — Q4 2024</w:t>
      </w:r>
    </w:p>
    <w:p>
      <w:r>
        <w:rPr>
          <w:b w:val="0"/>
          <w:color w:val="666666"/>
          <w:sz w:val="20"/>
        </w:rPr>
        <w:t>Board Meeting: February 6, 2025   |   Confidential — Board Use Only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48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February 6, 2025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Atlas Crossing Partners, 2 Embarcadero Center, Suite 1800, San Francisco, CA 94111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Board Members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Tang, S. Chen (Atlas Crossing); C. Gonzales (Exec. Chairman); R. Whitfield, L. Park (Independent)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Management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R. Gonzales (CFO); P. Vega (President &amp; COO); M. Torres (SVP Operations)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Observers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D. Okafor (Atlas Crossing — Principal)</w:t>
            </w:r>
          </w:p>
        </w:tc>
      </w:tr>
    </w:tbl>
    <w:p/>
    <w:p>
      <w:pPr>
        <w:pStyle w:val="Heading2"/>
      </w:pPr>
      <w:r>
        <w:rPr>
          <w:color w:val="1F2A44"/>
        </w:rPr>
        <w:t>Agenda</w:t>
      </w:r>
    </w:p>
    <w:p>
      <w:r>
        <w:t>1.  Call to order and quorum confirmation</w:t>
      </w:r>
    </w:p>
    <w:p>
      <w:r>
        <w:t>2.  Approval of prior meeting minutes</w:t>
      </w:r>
    </w:p>
    <w:p>
      <w:r>
        <w:t>3.  Executive Summary and quarterly highlights</w:t>
      </w:r>
    </w:p>
    <w:p>
      <w:r>
        <w:t>4.  Financial performance review</w:t>
      </w:r>
    </w:p>
    <w:p>
      <w:r>
        <w:t>5.  Operational KPI update</w:t>
      </w:r>
    </w:p>
    <w:p>
      <w:r>
        <w:t>6.  Strategic initiatives status</w:t>
      </w:r>
    </w:p>
    <w:p>
      <w:r>
        <w:t>7.  Risk review</w:t>
      </w:r>
    </w:p>
    <w:p>
      <w:r>
        <w:t>8.  Next quarter outlook and key actions</w:t>
      </w:r>
    </w:p>
    <w:p>
      <w:r>
        <w:t>9.  Other business / adjourn</w:t>
      </w:r>
    </w:p>
    <w:p/>
    <w:p>
      <w:pPr>
        <w:pStyle w:val="Heading1"/>
      </w:pPr>
      <w:r>
        <w:rPr>
          <w:color w:val="1F2A44"/>
        </w:rPr>
        <w:t>Executive Summary</w:t>
      </w:r>
    </w:p>
    <w:p>
      <w:r>
        <w:t>Wholesum closed FY2024 with Q4 revenue of $259.0M and EBITDA of $32.9M (12.7% margin). Full-year FY2024: revenue $952.0M, EBITDA $118.5M — 64% above the $72.4M entry LTM. Net leverage declined to 4.9x — 1.1 turns ahead of plan and the first time below 5.0x. The IC has formally approved the exit preparation process, targeting a sell-side process launch in Q2 2026.</w:t>
      </w:r>
    </w:p>
    <w:p/>
    <w:p>
      <w:pPr>
        <w:pStyle w:val="Heading1"/>
      </w:pPr>
      <w:r>
        <w:rPr>
          <w:color w:val="1F2A44"/>
        </w:rPr>
        <w:t>Financial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Q4 2024 Actual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Var. to Bud.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 Year Qtr</w:t>
            </w:r>
          </w:p>
        </w:tc>
        <w:tc>
          <w:tcPr>
            <w:tcW w:type="dxa" w:w="129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YoY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$259.0M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$254.0M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+2.0%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$208.0M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+24.5%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Profit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$52.3M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20.2%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$32.9M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$31.5M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+4.4%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$25.6M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+28.5%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12.7%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D&amp;A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($6.7M)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$26.2M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Interest Expense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($7.4M)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4.9x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6.0x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LTM 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$118.5M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$72.4M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F2A44"/>
        </w:rPr>
        <w:t>Operational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Current Quarter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Baseline</w:t>
            </w:r>
          </w:p>
        </w:tc>
        <w:tc>
          <w:tcPr>
            <w:tcW w:type="dxa" w:w="273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Progress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Total Customers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4,710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3,500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+1,210 incremental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Distribution Centers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12 DCs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+5 DCs from bolt-ons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Private Label % of Rev.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13.0%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8.0%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Target: 18% by exit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Revenue per Customer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$55.0K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EBITDA per DC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$1.94M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4.9x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6.0x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Covenant: ≤7.5x</w:t>
            </w:r>
          </w:p>
        </w:tc>
      </w:tr>
    </w:tbl>
    <w:p/>
    <w:p>
      <w:pPr>
        <w:pStyle w:val="Heading1"/>
      </w:pPr>
      <w:r>
        <w:rPr>
          <w:color w:val="1F2A44"/>
        </w:rPr>
        <w:t>Strategic Initiatives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Initiative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Private label expansion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Ahead of plan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78 SKUs; 13.0% of revenue; 16%+ target by exit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Exit preparation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IC approved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IC approved H2 2026 exit; Houlihan Lokey shortlist finalized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Customer NPS program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On track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NPS improved 62 → 68; target 72+ by Q3 2025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Management equity refresh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Completed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CEO + 5 senior leaders issued incremental equity</w:t>
            </w:r>
          </w:p>
        </w:tc>
      </w:tr>
    </w:tbl>
    <w:p/>
    <w:p>
      <w:pPr>
        <w:pStyle w:val="Heading1"/>
      </w:pPr>
      <w:r>
        <w:rPr>
          <w:color w:val="1F2A44"/>
        </w:rPr>
        <w:t>Key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561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Exit process timing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M&amp;A market active; strong strategic buyer appetite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PL co-packer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Contract extensions through 2027 executed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Interest rate environment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Low–Medium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Rate cap extended; SOFR impact manageable</w:t>
            </w:r>
          </w:p>
        </w:tc>
      </w:tr>
    </w:tbl>
    <w:p/>
    <w:p>
      <w:pPr>
        <w:pStyle w:val="Heading1"/>
      </w:pPr>
      <w:r>
        <w:rPr>
          <w:color w:val="1F2A44"/>
        </w:rPr>
        <w:t>Next Quarter Outlook</w:t>
      </w:r>
    </w:p>
    <w:p>
      <w:r>
        <w:t>FY2025 plan: $1,085M revenue, $138M EBITDA (12.7% margin). Houlihan Lokey engagement target Q1 2025. Exit process launch target Q2 2026.</w:t>
      </w:r>
    </w:p>
    <w:p/>
    <w:p>
      <w:r>
        <w:rPr>
          <w:i/>
          <w:color w:val="666666"/>
          <w:sz w:val="18"/>
        </w:rPr>
        <w:t>This document is confidential and has been prepared solely for use by the Board of Directors of Wholesum Foods Distribution, Inc. and Atlas Crossing Partners. Not for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