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666666"/>
          <w:sz w:val="22"/>
        </w:rPr>
        <w:t>ATLAS CROSSING PARTNERS — FUND III</w:t>
      </w:r>
    </w:p>
    <w:p>
      <w:r>
        <w:rPr>
          <w:b/>
          <w:color w:val="1F2A44"/>
          <w:sz w:val="44"/>
        </w:rPr>
        <w:t>Board of Directors Package</w:t>
      </w:r>
    </w:p>
    <w:p>
      <w:r>
        <w:rPr>
          <w:b w:val="0"/>
          <w:color w:val="1F2A44"/>
          <w:sz w:val="32"/>
        </w:rPr>
        <w:t>Wholesum Foods Distribution, Inc. — Q4 2025</w:t>
      </w:r>
    </w:p>
    <w:p>
      <w:r>
        <w:rPr>
          <w:b w:val="0"/>
          <w:color w:val="666666"/>
          <w:sz w:val="20"/>
        </w:rPr>
        <w:t>Board Meeting: February 5, 2026   |   Confidential — Board Use Only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shd w:val="clear" w:color="auto" w:fill="1F2A44"/>
            <w:vAlign w:val="center"/>
          </w:tcPr>
          <w:p>
            <w:r/>
            <w:r>
              <w:rPr>
                <w:b/>
                <w:color w:val="FFFFFF"/>
                <w:sz w:val="20"/>
              </w:rPr>
            </w:r>
          </w:p>
        </w:tc>
        <w:tc>
          <w:tcPr>
            <w:tcW w:type="dxa" w:w="7488"/>
            <w:shd w:val="clear" w:color="auto" w:fill="1F2A44"/>
            <w:vAlign w:val="center"/>
          </w:tcPr>
          <w:p>
            <w:r/>
            <w:r>
              <w:rPr>
                <w:b/>
                <w:color w:val="FFFFFF"/>
                <w:sz w:val="20"/>
              </w:rPr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sz w:val="20"/>
              </w:rPr>
              <w:t>Date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sz w:val="20"/>
              </w:rPr>
              <w:t>February 5, 2026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sz w:val="20"/>
              </w:rPr>
              <w:t>Location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sz w:val="20"/>
              </w:rPr>
              <w:t>Atlas Crossing Partners, 2 Embarcadero Center, Suite 1800, San Francisco, CA 94111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sz w:val="20"/>
              </w:rPr>
              <w:t>Board Members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sz w:val="20"/>
              </w:rPr>
              <w:t>M. Tang, S. Chen (Atlas Crossing); C. Gonzales (Exec. Chairman); R. Whitfield, L. Park (Independent)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sz w:val="20"/>
              </w:rPr>
              <w:t>Management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sz w:val="20"/>
              </w:rPr>
              <w:t>R. Gonzales (CFO); P. Vega (President &amp; COO); M. Torres (SVP Operations)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sz w:val="20"/>
              </w:rPr>
              <w:t>Observers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sz w:val="20"/>
              </w:rPr>
              <w:t>D. Okafor (Atlas Crossing — Principal)</w:t>
            </w:r>
          </w:p>
        </w:tc>
      </w:tr>
    </w:tbl>
    <w:p/>
    <w:p>
      <w:pPr>
        <w:pStyle w:val="Heading2"/>
      </w:pPr>
      <w:r>
        <w:rPr>
          <w:color w:val="1F2A44"/>
        </w:rPr>
        <w:t>Agenda</w:t>
      </w:r>
    </w:p>
    <w:p>
      <w:r>
        <w:t>1.  Call to order and quorum confirmation</w:t>
      </w:r>
    </w:p>
    <w:p>
      <w:r>
        <w:t>2.  Approval of prior meeting minutes</w:t>
      </w:r>
    </w:p>
    <w:p>
      <w:r>
        <w:t>3.  Executive Summary and quarterly highlights</w:t>
      </w:r>
    </w:p>
    <w:p>
      <w:r>
        <w:t>4.  Financial performance review</w:t>
      </w:r>
    </w:p>
    <w:p>
      <w:r>
        <w:t>5.  Operational KPI update</w:t>
      </w:r>
    </w:p>
    <w:p>
      <w:r>
        <w:t>6.  Strategic initiatives status</w:t>
      </w:r>
    </w:p>
    <w:p>
      <w:r>
        <w:t>7.  Risk review</w:t>
      </w:r>
    </w:p>
    <w:p>
      <w:r>
        <w:t>8.  Next quarter outlook and key actions</w:t>
      </w:r>
    </w:p>
    <w:p>
      <w:r>
        <w:t>9.  Other business / adjourn</w:t>
      </w:r>
    </w:p>
    <w:p/>
    <w:p>
      <w:pPr>
        <w:pStyle w:val="Heading1"/>
      </w:pPr>
      <w:r>
        <w:rPr>
          <w:color w:val="1F2A44"/>
        </w:rPr>
        <w:t>Executive Summary</w:t>
      </w:r>
    </w:p>
    <w:p>
      <w:r>
        <w:t>Wholesum closed FY2025 with Q4 revenue of $309.0M and EBITDA of $40.9M (13.2% margin). Full-year FY2025: revenue $1,118.0M, EBITDA $145.5M — 101% above the $72.4M entry LTM. Atlas Crossing signed a definitive agreement to sell Wholesum on January 29, 2026. The transaction values Wholesum at approximately $1.65B (~11.3x LTM EBITDA). Close expected Q2 2026, pending HSR clearance.</w:t>
      </w:r>
    </w:p>
    <w:p/>
    <w:p>
      <w:pPr>
        <w:pStyle w:val="Heading1"/>
      </w:pPr>
      <w:r>
        <w:rPr>
          <w:color w:val="1F2A44"/>
        </w:rPr>
        <w:t>Financial Performance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2592"/>
            <w:shd w:val="clear" w:color="auto" w:fill="1F2A4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1584"/>
            <w:shd w:val="clear" w:color="auto" w:fill="1F2A4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Q4 2025 Actual</w:t>
            </w:r>
          </w:p>
        </w:tc>
        <w:tc>
          <w:tcPr>
            <w:tcW w:type="dxa" w:w="1440"/>
            <w:shd w:val="clear" w:color="auto" w:fill="1F2A4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Budget</w:t>
            </w:r>
          </w:p>
        </w:tc>
        <w:tc>
          <w:tcPr>
            <w:tcW w:type="dxa" w:w="1440"/>
            <w:shd w:val="clear" w:color="auto" w:fill="1F2A4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Var. to Bud.</w:t>
            </w:r>
          </w:p>
        </w:tc>
        <w:tc>
          <w:tcPr>
            <w:tcW w:type="dxa" w:w="1584"/>
            <w:shd w:val="clear" w:color="auto" w:fill="1F2A4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Prior Year Qtr</w:t>
            </w:r>
          </w:p>
        </w:tc>
        <w:tc>
          <w:tcPr>
            <w:tcW w:type="dxa" w:w="1296"/>
            <w:shd w:val="clear" w:color="auto" w:fill="1F2A4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YoY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sz w:val="20"/>
              </w:rPr>
              <w:t>Revenue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sz w:val="20"/>
              </w:rPr>
              <w:t>$309.0M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$302.0M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+2.3%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sz w:val="20"/>
              </w:rPr>
              <w:t>$259.0M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sz w:val="20"/>
              </w:rPr>
              <w:t>+19.3%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sz w:val="20"/>
              </w:rPr>
              <w:t>Gross Profit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sz w:val="20"/>
              </w:rPr>
              <w:t>$64.6M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sz w:val="20"/>
              </w:rPr>
              <w:t>Gross Margin %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sz w:val="20"/>
              </w:rPr>
              <w:t>20.9%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sz w:val="20"/>
              </w:rPr>
              <w:t>EBITDA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sz w:val="20"/>
              </w:rPr>
              <w:t>$40.9M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$39.2M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+4.3%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sz w:val="20"/>
              </w:rPr>
              <w:t>$32.9M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sz w:val="20"/>
              </w:rPr>
              <w:t>+24.3%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sz w:val="20"/>
              </w:rPr>
              <w:t>EBITDA Margin %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sz w:val="20"/>
              </w:rPr>
              <w:t>13.2%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sz w:val="20"/>
              </w:rPr>
              <w:t>D&amp;A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sz w:val="20"/>
              </w:rPr>
              <w:t>($6.7M)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sz w:val="20"/>
              </w:rPr>
              <w:t>EBIT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sz w:val="20"/>
              </w:rPr>
              <w:t>$34.2M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sz w:val="20"/>
              </w:rPr>
              <w:t>Interest Expense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sz w:val="20"/>
              </w:rPr>
              <w:t>($7.1M)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sz w:val="20"/>
              </w:rPr>
              <w:t>Net Leverage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sz w:val="20"/>
              </w:rPr>
              <w:t>4.5x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sz w:val="20"/>
              </w:rPr>
              <w:t>Entry: 6.0x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sz w:val="20"/>
              </w:rPr>
              <w:t>LTM EBITDA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sz w:val="20"/>
              </w:rPr>
              <w:t>$145.5M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sz w:val="20"/>
              </w:rPr>
              <w:t>Entry: $72.4M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</w:tr>
    </w:tbl>
    <w:p/>
    <w:p>
      <w:pPr>
        <w:pStyle w:val="Heading1"/>
      </w:pPr>
      <w:r>
        <w:rPr>
          <w:color w:val="1F2A44"/>
        </w:rPr>
        <w:t>Operational KPIs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880"/>
            <w:shd w:val="clear" w:color="auto" w:fill="1F2A4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KPI</w:t>
            </w:r>
          </w:p>
        </w:tc>
        <w:tc>
          <w:tcPr>
            <w:tcW w:type="dxa" w:w="2160"/>
            <w:shd w:val="clear" w:color="auto" w:fill="1F2A4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Current Quarter</w:t>
            </w:r>
          </w:p>
        </w:tc>
        <w:tc>
          <w:tcPr>
            <w:tcW w:type="dxa" w:w="2160"/>
            <w:shd w:val="clear" w:color="auto" w:fill="1F2A4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Entry Baseline</w:t>
            </w:r>
          </w:p>
        </w:tc>
        <w:tc>
          <w:tcPr>
            <w:tcW w:type="dxa" w:w="2736"/>
            <w:shd w:val="clear" w:color="auto" w:fill="1F2A4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Progress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sz w:val="20"/>
              </w:rPr>
              <w:t>Total Customers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20"/>
              </w:rPr>
              <w:t>5,240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20"/>
              </w:rPr>
              <w:t>3,500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sz w:val="20"/>
              </w:rPr>
              <w:t>+1,740 incremental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sz w:val="20"/>
              </w:rPr>
              <w:t>Distribution Centers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20"/>
              </w:rPr>
              <w:t>17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20"/>
              </w:rPr>
              <w:t>12 DCs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sz w:val="20"/>
              </w:rPr>
              <w:t>+5 DCs from bolt-ons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sz w:val="20"/>
              </w:rPr>
              <w:t>Private Label % of Rev.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20"/>
              </w:rPr>
              <w:t>16.0%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20"/>
              </w:rPr>
              <w:t>8.0%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sz w:val="20"/>
              </w:rPr>
              <w:t>Target: 18% by exit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sz w:val="20"/>
              </w:rPr>
              <w:t>Revenue per Customer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20"/>
              </w:rPr>
              <w:t>$59.0K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sz w:val="20"/>
              </w:rPr>
              <w:t>EBITDA per DC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20"/>
              </w:rPr>
              <w:t>$2.41M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sz w:val="20"/>
              </w:rPr>
              <w:t>Net Leverage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20"/>
              </w:rPr>
              <w:t>4.5x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20"/>
              </w:rPr>
              <w:t>6.0x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sz w:val="20"/>
              </w:rPr>
              <w:t>Covenant: ≤7.5x</w:t>
            </w:r>
          </w:p>
        </w:tc>
      </w:tr>
    </w:tbl>
    <w:p/>
    <w:p>
      <w:pPr>
        <w:pStyle w:val="Heading1"/>
      </w:pPr>
      <w:r>
        <w:rPr>
          <w:color w:val="1F2A44"/>
        </w:rPr>
        <w:t>Strategic Initiatives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68"/>
            <w:shd w:val="clear" w:color="auto" w:fill="1F2A4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Initiative</w:t>
            </w:r>
          </w:p>
        </w:tc>
        <w:tc>
          <w:tcPr>
            <w:tcW w:type="dxa" w:w="2160"/>
            <w:shd w:val="clear" w:color="auto" w:fill="1F2A4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4608"/>
            <w:shd w:val="clear" w:color="auto" w:fill="1F2A4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Detail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sz w:val="20"/>
              </w:rPr>
              <w:t>Exit — DA signed Jan 29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20"/>
              </w:rPr>
              <w:t>Signed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sz w:val="20"/>
              </w:rPr>
              <w:t>HSR filing target Feb 20; no overlap issues identified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sz w:val="20"/>
              </w:rPr>
              <w:t>Close preparation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20"/>
              </w:rPr>
              <w:t>In progress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sz w:val="20"/>
              </w:rPr>
              <w:t>Working toward close Q2 2026; transition planning active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sz w:val="20"/>
              </w:rPr>
              <w:t>Private label expansion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20"/>
              </w:rPr>
              <w:t>At target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sz w:val="20"/>
              </w:rPr>
              <w:t>97 SKUs; 16% of revenue — at exit target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sz w:val="20"/>
              </w:rPr>
              <w:t>Management transition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20"/>
              </w:rPr>
              <w:t>Initiated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sz w:val="20"/>
              </w:rPr>
              <w:t>Retention packages and earnouts agreed with buyer</w:t>
            </w:r>
          </w:p>
        </w:tc>
      </w:tr>
    </w:tbl>
    <w:p/>
    <w:p>
      <w:pPr>
        <w:pStyle w:val="Heading1"/>
      </w:pPr>
      <w:r>
        <w:rPr>
          <w:color w:val="1F2A44"/>
        </w:rPr>
        <w:t>Key Risks &amp; Mitigation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80"/>
            <w:shd w:val="clear" w:color="auto" w:fill="1F2A4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Risk</w:t>
            </w:r>
          </w:p>
        </w:tc>
        <w:tc>
          <w:tcPr>
            <w:tcW w:type="dxa" w:w="1440"/>
            <w:shd w:val="clear" w:color="auto" w:fill="1F2A4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Severity</w:t>
            </w:r>
          </w:p>
        </w:tc>
        <w:tc>
          <w:tcPr>
            <w:tcW w:type="dxa" w:w="5616"/>
            <w:shd w:val="clear" w:color="auto" w:fill="1F2A4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Mitigation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sz w:val="20"/>
              </w:rPr>
              <w:t>HSR clearance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Low</w:t>
            </w:r>
          </w:p>
        </w:tc>
        <w:tc>
          <w:tcPr>
            <w:tcW w:type="dxa" w:w="5616"/>
            <w:vAlign w:val="center"/>
          </w:tcPr>
          <w:p>
            <w:r/>
            <w:r>
              <w:rPr>
                <w:sz w:val="20"/>
              </w:rPr>
              <w:t>No antitrust issues; 30-day review expected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sz w:val="20"/>
              </w:rPr>
              <w:t>Q1 2026 performance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Positive</w:t>
            </w:r>
          </w:p>
        </w:tc>
        <w:tc>
          <w:tcPr>
            <w:tcW w:type="dxa" w:w="5616"/>
            <w:vAlign w:val="center"/>
          </w:tcPr>
          <w:p>
            <w:r/>
            <w:r>
              <w:rPr>
                <w:sz w:val="20"/>
              </w:rPr>
              <w:t>Q1 tracking 3–4% ahead of plan; strong momentum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sz w:val="20"/>
              </w:rPr>
              <w:t>Earnout execution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Low–Medium</w:t>
            </w:r>
          </w:p>
        </w:tc>
        <w:tc>
          <w:tcPr>
            <w:tcW w:type="dxa" w:w="5616"/>
            <w:vAlign w:val="center"/>
          </w:tcPr>
          <w:p>
            <w:r/>
            <w:r>
              <w:rPr>
                <w:sz w:val="20"/>
              </w:rPr>
              <w:t>Earnout tied to FY2026 EBITDA; well above threshold</w:t>
            </w:r>
          </w:p>
        </w:tc>
      </w:tr>
    </w:tbl>
    <w:p/>
    <w:p>
      <w:pPr>
        <w:pStyle w:val="Heading1"/>
      </w:pPr>
      <w:r>
        <w:rPr>
          <w:color w:val="1F2A44"/>
        </w:rPr>
        <w:t>Next Quarter Outlook</w:t>
      </w:r>
    </w:p>
    <w:p>
      <w:r>
        <w:t>Transaction close expected April/May 2026. Fund III gross MOIC estimated 2.3x; Gross IRR estimated 18–19%. Q1 2026 board will be the final Wholesum board meeting.</w:t>
      </w:r>
    </w:p>
    <w:p/>
    <w:p>
      <w:r>
        <w:rPr>
          <w:i/>
          <w:color w:val="666666"/>
          <w:sz w:val="18"/>
        </w:rPr>
        <w:t>This document is confidential and has been prepared solely for use by the Board of Directors of Wholesum Foods Distribution, Inc. and Atlas Crossing Partners. Not for distribution.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