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66666"/>
          <w:sz w:val="22"/>
        </w:rPr>
        <w:t>ATLAS CROSSING PARTNERS — FUND III</w:t>
      </w:r>
    </w:p>
    <w:p>
      <w:r>
        <w:rPr>
          <w:b/>
          <w:color w:val="1F2A44"/>
          <w:sz w:val="44"/>
        </w:rPr>
        <w:t>Investment Committee Memorandum</w:t>
      </w:r>
    </w:p>
    <w:p>
      <w:r>
        <w:rPr>
          <w:color w:val="1F2A44"/>
          <w:sz w:val="32"/>
        </w:rPr>
        <w:t>Initial Investment Recommendation — Wholesum Foods Distribution, Inc.</w:t>
      </w:r>
    </w:p>
    <w:p>
      <w:r>
        <w:rPr>
          <w:i/>
          <w:color w:val="666666"/>
          <w:sz w:val="20"/>
        </w:rPr>
        <w:t>June 14, 2022   |   Confidential — IC Use Only</w:t>
      </w:r>
    </w:p>
    <w:p/>
    <w:p>
      <w:pPr>
        <w:pStyle w:val="Heading2"/>
      </w:pPr>
      <w:r>
        <w:rPr>
          <w:color w:val="1F2A44"/>
        </w:rPr>
        <w:t>Deal snapshot</w:t>
      </w:r>
    </w:p>
    <w:tbl>
      <w:tblPr>
        <w:tblStyle w:val="LightGrid-Accent1"/>
        <w:tblW w:type="auto" w:w="0"/>
        <w:tblLook w:firstColumn="1" w:firstRow="1" w:lastColumn="0" w:lastRow="0" w:noHBand="0" w:noVBand="1" w:val="04A0"/>
      </w:tblPr>
      <w:tblGrid>
        <w:gridCol w:w="4680"/>
        <w:gridCol w:w="4680"/>
      </w:tblGrid>
      <w:tr>
        <w:tc>
          <w:tcPr>
            <w:tcW w:type="dxa" w:w="3456"/>
            <w:shd w:val="clear" w:color="auto" w:fill="1F2A44"/>
            <w:vAlign w:val="center"/>
          </w:tcPr>
          <w:p>
            <w:r/>
            <w:r>
              <w:rPr>
                <w:b/>
                <w:color w:val="FFFFFF"/>
                <w:sz w:val="20"/>
              </w:rPr>
              <w:t>Item</w:t>
            </w:r>
          </w:p>
        </w:tc>
        <w:tc>
          <w:tcPr>
            <w:tcW w:type="dxa" w:w="6624"/>
            <w:shd w:val="clear" w:color="auto" w:fill="1F2A44"/>
            <w:vAlign w:val="center"/>
          </w:tcPr>
          <w:p>
            <w:r/>
            <w:r>
              <w:rPr>
                <w:b/>
                <w:color w:val="FFFFFF"/>
                <w:sz w:val="20"/>
              </w:rPr>
              <w:t>Detail</w:t>
            </w:r>
          </w:p>
        </w:tc>
      </w:tr>
      <w:tr>
        <w:tc>
          <w:tcPr>
            <w:tcW w:type="dxa" w:w="3456"/>
            <w:vAlign w:val="center"/>
          </w:tcPr>
          <w:p>
            <w:r/>
            <w:r>
              <w:rPr>
                <w:sz w:val="20"/>
              </w:rPr>
              <w:t>Target</w:t>
            </w:r>
          </w:p>
        </w:tc>
        <w:tc>
          <w:tcPr>
            <w:tcW w:type="dxa" w:w="6624"/>
            <w:vAlign w:val="center"/>
          </w:tcPr>
          <w:p>
            <w:r/>
            <w:r>
              <w:rPr>
                <w:sz w:val="20"/>
              </w:rPr>
              <w:t>Wholesum Foods Distribution, Inc. (privately held; Gonzales family)</w:t>
            </w:r>
          </w:p>
        </w:tc>
      </w:tr>
      <w:tr>
        <w:tc>
          <w:tcPr>
            <w:tcW w:type="dxa" w:w="3456"/>
            <w:vAlign w:val="center"/>
          </w:tcPr>
          <w:p>
            <w:r/>
            <w:r>
              <w:rPr>
                <w:sz w:val="20"/>
              </w:rPr>
              <w:t>Headquarters</w:t>
            </w:r>
          </w:p>
        </w:tc>
        <w:tc>
          <w:tcPr>
            <w:tcW w:type="dxa" w:w="6624"/>
            <w:vAlign w:val="center"/>
          </w:tcPr>
          <w:p>
            <w:r/>
            <w:r>
              <w:rPr>
                <w:sz w:val="20"/>
              </w:rPr>
              <w:t>Houston, TX — founded 1978</w:t>
            </w:r>
          </w:p>
        </w:tc>
      </w:tr>
      <w:tr>
        <w:tc>
          <w:tcPr>
            <w:tcW w:type="dxa" w:w="3456"/>
            <w:vAlign w:val="center"/>
          </w:tcPr>
          <w:p>
            <w:r/>
            <w:r>
              <w:rPr>
                <w:sz w:val="20"/>
              </w:rPr>
              <w:t>Sector / sub-sector</w:t>
            </w:r>
          </w:p>
        </w:tc>
        <w:tc>
          <w:tcPr>
            <w:tcW w:type="dxa" w:w="6624"/>
            <w:vAlign w:val="center"/>
          </w:tcPr>
          <w:p>
            <w:r/>
            <w:r>
              <w:rPr>
                <w:sz w:val="20"/>
              </w:rPr>
              <w:t>B2B distribution — Foodservice (specialty + ethnic foods)</w:t>
            </w:r>
          </w:p>
        </w:tc>
      </w:tr>
      <w:tr>
        <w:tc>
          <w:tcPr>
            <w:tcW w:type="dxa" w:w="3456"/>
            <w:vAlign w:val="center"/>
          </w:tcPr>
          <w:p>
            <w:r/>
            <w:r>
              <w:rPr>
                <w:sz w:val="20"/>
              </w:rPr>
              <w:t>Transaction type</w:t>
            </w:r>
          </w:p>
        </w:tc>
        <w:tc>
          <w:tcPr>
            <w:tcW w:type="dxa" w:w="6624"/>
            <w:vAlign w:val="center"/>
          </w:tcPr>
          <w:p>
            <w:r/>
            <w:r>
              <w:rPr>
                <w:sz w:val="20"/>
              </w:rPr>
              <w:t>Control buyout with majority recap; family retains 22% rollover</w:t>
            </w:r>
          </w:p>
        </w:tc>
      </w:tr>
      <w:tr>
        <w:tc>
          <w:tcPr>
            <w:tcW w:type="dxa" w:w="3456"/>
            <w:vAlign w:val="center"/>
          </w:tcPr>
          <w:p>
            <w:r/>
            <w:r>
              <w:rPr>
                <w:sz w:val="20"/>
              </w:rPr>
              <w:t>Enterprise value</w:t>
            </w:r>
          </w:p>
        </w:tc>
        <w:tc>
          <w:tcPr>
            <w:tcW w:type="dxa" w:w="6624"/>
            <w:vAlign w:val="center"/>
          </w:tcPr>
          <w:p>
            <w:r/>
            <w:r>
              <w:rPr>
                <w:sz w:val="20"/>
              </w:rPr>
              <w:t>$710M</w:t>
            </w:r>
          </w:p>
        </w:tc>
      </w:tr>
      <w:tr>
        <w:tc>
          <w:tcPr>
            <w:tcW w:type="dxa" w:w="3456"/>
            <w:vAlign w:val="center"/>
          </w:tcPr>
          <w:p>
            <w:r/>
            <w:r>
              <w:rPr>
                <w:sz w:val="20"/>
              </w:rPr>
              <w:t>Entry multiple</w:t>
            </w:r>
          </w:p>
        </w:tc>
        <w:tc>
          <w:tcPr>
            <w:tcW w:type="dxa" w:w="6624"/>
            <w:vAlign w:val="center"/>
          </w:tcPr>
          <w:p>
            <w:r/>
            <w:r>
              <w:rPr>
                <w:sz w:val="20"/>
              </w:rPr>
              <w:t>9.8x LTM Adjusted EBITDA ($72.4M)</w:t>
            </w:r>
          </w:p>
        </w:tc>
      </w:tr>
      <w:tr>
        <w:tc>
          <w:tcPr>
            <w:tcW w:type="dxa" w:w="3456"/>
            <w:vAlign w:val="center"/>
          </w:tcPr>
          <w:p>
            <w:r/>
            <w:r>
              <w:rPr>
                <w:sz w:val="20"/>
              </w:rPr>
              <w:t>Atlas Crossing equity (Fund III)</w:t>
            </w:r>
          </w:p>
        </w:tc>
        <w:tc>
          <w:tcPr>
            <w:tcW w:type="dxa" w:w="6624"/>
            <w:vAlign w:val="center"/>
          </w:tcPr>
          <w:p>
            <w:r/>
            <w:r>
              <w:rPr>
                <w:sz w:val="20"/>
              </w:rPr>
              <w:t>$155M</w:t>
            </w:r>
          </w:p>
        </w:tc>
      </w:tr>
      <w:tr>
        <w:tc>
          <w:tcPr>
            <w:tcW w:type="dxa" w:w="3456"/>
            <w:vAlign w:val="center"/>
          </w:tcPr>
          <w:p>
            <w:r/>
            <w:r>
              <w:rPr>
                <w:sz w:val="20"/>
              </w:rPr>
              <w:t>Senior debt (Antares + Twin Brook)</w:t>
            </w:r>
          </w:p>
        </w:tc>
        <w:tc>
          <w:tcPr>
            <w:tcW w:type="dxa" w:w="6624"/>
            <w:vAlign w:val="center"/>
          </w:tcPr>
          <w:p>
            <w:r/>
            <w:r>
              <w:rPr>
                <w:sz w:val="20"/>
              </w:rPr>
              <w:t>$430M (5.9x LTM Adj. EBITDA, unitranche)</w:t>
            </w:r>
          </w:p>
        </w:tc>
      </w:tr>
      <w:tr>
        <w:tc>
          <w:tcPr>
            <w:tcW w:type="dxa" w:w="3456"/>
            <w:vAlign w:val="center"/>
          </w:tcPr>
          <w:p>
            <w:r/>
            <w:r>
              <w:rPr>
                <w:sz w:val="20"/>
              </w:rPr>
              <w:t>Family rollover (Gonzales family)</w:t>
            </w:r>
          </w:p>
        </w:tc>
        <w:tc>
          <w:tcPr>
            <w:tcW w:type="dxa" w:w="6624"/>
            <w:vAlign w:val="center"/>
          </w:tcPr>
          <w:p>
            <w:r/>
            <w:r>
              <w:rPr>
                <w:sz w:val="20"/>
              </w:rPr>
              <w:t>$125M (22% pro-forma equity ownership)</w:t>
            </w:r>
          </w:p>
        </w:tc>
      </w:tr>
      <w:tr>
        <w:tc>
          <w:tcPr>
            <w:tcW w:type="dxa" w:w="3456"/>
            <w:vAlign w:val="center"/>
          </w:tcPr>
          <w:p>
            <w:r/>
            <w:r>
              <w:rPr>
                <w:sz w:val="20"/>
              </w:rPr>
              <w:t>Target close</w:t>
            </w:r>
          </w:p>
        </w:tc>
        <w:tc>
          <w:tcPr>
            <w:tcW w:type="dxa" w:w="6624"/>
            <w:vAlign w:val="center"/>
          </w:tcPr>
          <w:p>
            <w:r/>
            <w:r>
              <w:rPr>
                <w:sz w:val="20"/>
              </w:rPr>
              <w:t>August 2022</w:t>
            </w:r>
          </w:p>
        </w:tc>
      </w:tr>
      <w:tr>
        <w:tc>
          <w:tcPr>
            <w:tcW w:type="dxa" w:w="3456"/>
            <w:vAlign w:val="center"/>
          </w:tcPr>
          <w:p>
            <w:r/>
            <w:r>
              <w:rPr>
                <w:sz w:val="20"/>
              </w:rPr>
              <w:t>Sell-side banker</w:t>
            </w:r>
          </w:p>
        </w:tc>
        <w:tc>
          <w:tcPr>
            <w:tcW w:type="dxa" w:w="6624"/>
            <w:vAlign w:val="center"/>
          </w:tcPr>
          <w:p>
            <w:r/>
            <w:r>
              <w:rPr>
                <w:sz w:val="20"/>
              </w:rPr>
              <w:t>William Blair</w:t>
            </w:r>
          </w:p>
        </w:tc>
      </w:tr>
      <w:tr>
        <w:tc>
          <w:tcPr>
            <w:tcW w:type="dxa" w:w="3456"/>
            <w:vAlign w:val="center"/>
          </w:tcPr>
          <w:p>
            <w:r/>
            <w:r>
              <w:rPr>
                <w:sz w:val="20"/>
              </w:rPr>
              <w:t>Buy-side advisors</w:t>
            </w:r>
          </w:p>
        </w:tc>
        <w:tc>
          <w:tcPr>
            <w:tcW w:type="dxa" w:w="6624"/>
            <w:vAlign w:val="center"/>
          </w:tcPr>
          <w:p>
            <w:r/>
            <w:r>
              <w:rPr>
                <w:sz w:val="20"/>
              </w:rPr>
              <w:t>Kirkland &amp; Ellis (legal); EY (QofE); Bain (CDD); FTI (sell-side IT)</w:t>
            </w:r>
          </w:p>
        </w:tc>
      </w:tr>
      <w:tr>
        <w:tc>
          <w:tcPr>
            <w:tcW w:type="dxa" w:w="3456"/>
            <w:vAlign w:val="center"/>
          </w:tcPr>
          <w:p>
            <w:r/>
            <w:r>
              <w:rPr>
                <w:sz w:val="20"/>
              </w:rPr>
              <w:t>Deal team</w:t>
            </w:r>
          </w:p>
        </w:tc>
        <w:tc>
          <w:tcPr>
            <w:tcW w:type="dxa" w:w="6624"/>
            <w:vAlign w:val="center"/>
          </w:tcPr>
          <w:p>
            <w:r/>
            <w:r>
              <w:rPr>
                <w:sz w:val="20"/>
              </w:rPr>
              <w:t>M. Tang (MD), D. Okafor (Principal), J. Mendez (VP), N. Patel (Associate)</w:t>
            </w:r>
          </w:p>
        </w:tc>
      </w:tr>
    </w:tbl>
    <w:p/>
    <w:p>
      <w:pPr>
        <w:pStyle w:val="Heading1"/>
      </w:pPr>
      <w:r>
        <w:rPr>
          <w:color w:val="1F2A44"/>
        </w:rPr>
        <w:t>1. Recommendation</w:t>
      </w:r>
    </w:p>
    <w:p>
      <w:r>
        <w:t>The Investment Team recommends the Investment Committee approve the acquisition of a majority controlling interest in Wholesum Foods Distribution, Inc. ("Wholesum") by Atlas Crossing Partners Fund III, L.P. at an enterprise value of $710 million, representing 9.8x LTM Adjusted EBITDA of $72.4M. Wholesum is the largest US specialty foodservice distributor focused on Hispanic, Asian, and Mediterranean / Italian product lines, serving ~3,500 restaurant and retail customers from 12 distribution centers. The Gonzales family is rolling $125M (22%) of proceeds and remaining engaged as executive chairman + CFO.</w:t>
      </w:r>
    </w:p>
    <w:p>
      <w:pPr>
        <w:pStyle w:val="Heading1"/>
      </w:pPr>
      <w:r>
        <w:rPr>
          <w:color w:val="1F2A44"/>
        </w:rPr>
        <w:t>2. Investment thesis</w:t>
      </w:r>
    </w:p>
    <w:p>
      <w:pPr>
        <w:pStyle w:val="ListBullet"/>
      </w:pPr>
      <w:r>
        <w:rPr>
          <w:b/>
        </w:rPr>
        <w:t xml:space="preserve">Outsized growth in specialty / ethnic foods well ahead of broader foodservice distribution. </w:t>
      </w:r>
      <w:r>
        <w:t>US specialty / ethnic foodservice distribution is growing at 8–10% CAGR vs. mainstream foodservice distribution at 3–4%. Drivers: shifting US demographics (Hispanic/Latino market is now 19% of US population, projected 28% by 2050); Asian-American population growing 32% over the past decade; millennial / Gen Z preference for authentic global cuisine.</w:t>
      </w:r>
    </w:p>
    <w:p>
      <w:pPr>
        <w:pStyle w:val="ListBullet"/>
      </w:pPr>
      <w:r>
        <w:rPr>
          <w:b/>
        </w:rPr>
        <w:t xml:space="preserve">Fragmented market with consolidation opportunity. </w:t>
      </w:r>
      <w:r>
        <w:t>Specialty foodservice distribution is highly fragmented; outside of Wholesum and Sysco/US Foods specialty divisions, the top 10 specialty distributors hold less than 30% combined share. We have line of sight on 8 attractive regional bolt-ons in adjacent ethnic categories (Indian, Middle Eastern, Caribbean) and underserved geographies (Midwest, Mountain West).</w:t>
      </w:r>
    </w:p>
    <w:p>
      <w:pPr>
        <w:pStyle w:val="ListBullet"/>
      </w:pPr>
      <w:r>
        <w:rPr>
          <w:b/>
        </w:rPr>
        <w:t xml:space="preserve">Private-label opportunity is large and underdeveloped. </w:t>
      </w:r>
      <w:r>
        <w:t>Wholesum is only 8% private label today vs. 18–25% at scaled mainstream foodservice distributors and 15-20% at specialty grocery distributors. Migration to 18% PL over 4–5 years implies +220bps GM expansion.</w:t>
      </w:r>
    </w:p>
    <w:p>
      <w:pPr>
        <w:pStyle w:val="ListBullet"/>
      </w:pPr>
      <w:r>
        <w:rPr>
          <w:b/>
        </w:rPr>
        <w:t xml:space="preserve">Defensive customer base with stable repeat purchase patterns. </w:t>
      </w:r>
      <w:r>
        <w:t>85% of revenue is repeat / contracted with restaurant operators. Wholesum demonstrated resilience through COVID: revenue declined 11% in 2020 (vs. 25%+ for mainstream foodservice distributors) and fully recovered by Q3 2021. Specialty / ethnic restaurants outperformed mainstream operators in 2021–2022.</w:t>
      </w:r>
    </w:p>
    <w:p>
      <w:pPr>
        <w:pStyle w:val="ListBullet"/>
      </w:pPr>
      <w:r>
        <w:rPr>
          <w:b/>
        </w:rPr>
        <w:t xml:space="preserve">Strong management bench with family willing to step back. </w:t>
      </w:r>
      <w:r>
        <w:t>CEO Roberto Gonzales (3rd generation) has run the business for 18 years. Daughter Carmen Gonzales Diaz (current COO) is a strong operator and the natural successor — Atlas Crossing intends to promote her to CEO within 12 months. Roberto will transition to Executive Chairman.</w:t>
      </w:r>
    </w:p>
    <w:p>
      <w:pPr>
        <w:pStyle w:val="ListBullet"/>
      </w:pPr>
      <w:r>
        <w:rPr>
          <w:b/>
        </w:rPr>
        <w:t xml:space="preserve">Tech infrastructure modernization is the operating lever. </w:t>
      </w:r>
      <w:r>
        <w:t>Wholesum's current ERP (custom in-house, 1990s vintage) limits SKU expansion, channel reporting, and customer self-service. NetSuite + Manhattan WMS implementation budgeted at $14M over 18 months. Expected to unlock $9–11M of incremental annual EBITDA via warehouse efficiency, fill-rate improvement, and new digital ordering revenue.</w:t>
      </w:r>
    </w:p>
    <w:p>
      <w:pPr>
        <w:pStyle w:val="Heading1"/>
      </w:pPr>
      <w:r>
        <w:rPr>
          <w:color w:val="1F2A44"/>
        </w:rPr>
        <w:t>3. Company overview</w:t>
      </w:r>
    </w:p>
    <w:p>
      <w:r>
        <w:t>Wholesum Foods Distribution is the leading specialty foodservice distributor in the US, founded in 1978 by Miguel Gonzales (a former wholesale meat distributor) in Houston. The company has grown organically through three generations of Gonzales family leadership to a $885M-revenue distributor serving 3,500 restaurant and retail customers from 12 distribution centers concentrated in TX (3), FL (2), CA (3), NY metro (2), and Chicago (2). FY2022 LTM revenue $885M (+13.4% YoY) and LTM Adj. EBITDA $72.4M (8.2% margin).</w:t>
      </w:r>
    </w:p>
    <w:p>
      <w:pPr>
        <w:pStyle w:val="Heading3"/>
      </w:pPr>
      <w:r>
        <w:rPr>
          <w:color w:val="1F2A44"/>
        </w:rPr>
        <w:t>Channel and revenue mix (FY2022 LTM)</w:t>
      </w:r>
    </w:p>
    <w:tbl>
      <w:tblPr>
        <w:tblStyle w:val="LightGrid-Accent1"/>
        <w:tblW w:type="auto" w:w="0"/>
        <w:tblLook w:firstColumn="1" w:firstRow="1" w:lastColumn="0" w:lastRow="0" w:noHBand="0" w:noVBand="1" w:val="04A0"/>
      </w:tblPr>
      <w:tblGrid>
        <w:gridCol w:w="2340"/>
        <w:gridCol w:w="2340"/>
        <w:gridCol w:w="2340"/>
        <w:gridCol w:w="2340"/>
      </w:tblGrid>
      <w:tr>
        <w:tc>
          <w:tcPr>
            <w:tcW w:type="dxa" w:w="5184"/>
            <w:shd w:val="clear" w:color="auto" w:fill="1F2A44"/>
            <w:vAlign w:val="center"/>
          </w:tcPr>
          <w:p>
            <w:r/>
            <w:r>
              <w:rPr>
                <w:b/>
                <w:color w:val="FFFFFF"/>
                <w:sz w:val="20"/>
              </w:rPr>
              <w:t>Segment</w:t>
            </w:r>
          </w:p>
        </w:tc>
        <w:tc>
          <w:tcPr>
            <w:tcW w:type="dxa" w:w="1728"/>
            <w:shd w:val="clear" w:color="auto" w:fill="1F2A44"/>
            <w:vAlign w:val="center"/>
          </w:tcPr>
          <w:p>
            <w:r/>
            <w:r>
              <w:rPr>
                <w:b/>
                <w:color w:val="FFFFFF"/>
                <w:sz w:val="20"/>
              </w:rPr>
              <w:t>% of revenue</w:t>
            </w:r>
          </w:p>
        </w:tc>
        <w:tc>
          <w:tcPr>
            <w:tcW w:type="dxa" w:w="2016"/>
            <w:shd w:val="clear" w:color="auto" w:fill="1F2A44"/>
            <w:vAlign w:val="center"/>
          </w:tcPr>
          <w:p>
            <w:r/>
            <w:r>
              <w:rPr>
                <w:b/>
                <w:color w:val="FFFFFF"/>
                <w:sz w:val="20"/>
              </w:rPr>
              <w:t>YoY growth</w:t>
            </w:r>
          </w:p>
        </w:tc>
        <w:tc>
          <w:tcPr>
            <w:tcW w:type="dxa" w:w="1152"/>
            <w:shd w:val="clear" w:color="auto" w:fill="1F2A44"/>
            <w:vAlign w:val="center"/>
          </w:tcPr>
          <w:p>
            <w:r/>
            <w:r>
              <w:rPr>
                <w:b/>
                <w:color w:val="FFFFFF"/>
                <w:sz w:val="20"/>
              </w:rPr>
              <w:t>GM%</w:t>
            </w:r>
          </w:p>
        </w:tc>
      </w:tr>
      <w:tr>
        <w:tc>
          <w:tcPr>
            <w:tcW w:type="dxa" w:w="5184"/>
            <w:vAlign w:val="center"/>
          </w:tcPr>
          <w:p>
            <w:r/>
            <w:r>
              <w:rPr>
                <w:sz w:val="20"/>
              </w:rPr>
              <w:t>Hispanic foods (broadest specialty)</w:t>
            </w:r>
          </w:p>
        </w:tc>
        <w:tc>
          <w:tcPr>
            <w:tcW w:type="dxa" w:w="1728"/>
            <w:vAlign w:val="center"/>
          </w:tcPr>
          <w:p>
            <w:r/>
            <w:r>
              <w:rPr>
                <w:sz w:val="20"/>
              </w:rPr>
              <w:t>42%</w:t>
            </w:r>
          </w:p>
        </w:tc>
        <w:tc>
          <w:tcPr>
            <w:tcW w:type="dxa" w:w="2016"/>
            <w:vAlign w:val="center"/>
          </w:tcPr>
          <w:p>
            <w:r/>
            <w:r>
              <w:rPr>
                <w:sz w:val="20"/>
              </w:rPr>
              <w:t>+15.2%</w:t>
            </w:r>
          </w:p>
        </w:tc>
        <w:tc>
          <w:tcPr>
            <w:tcW w:type="dxa" w:w="1152"/>
            <w:vAlign w:val="center"/>
          </w:tcPr>
          <w:p>
            <w:r/>
            <w:r>
              <w:rPr>
                <w:sz w:val="20"/>
              </w:rPr>
              <w:t>21.4%</w:t>
            </w:r>
          </w:p>
        </w:tc>
      </w:tr>
      <w:tr>
        <w:tc>
          <w:tcPr>
            <w:tcW w:type="dxa" w:w="5184"/>
            <w:vAlign w:val="center"/>
          </w:tcPr>
          <w:p>
            <w:r/>
            <w:r>
              <w:rPr>
                <w:sz w:val="20"/>
              </w:rPr>
              <w:t>Asian foods (Chinese, Vietnamese, Thai, Japanese, Korean)</w:t>
            </w:r>
          </w:p>
        </w:tc>
        <w:tc>
          <w:tcPr>
            <w:tcW w:type="dxa" w:w="1728"/>
            <w:vAlign w:val="center"/>
          </w:tcPr>
          <w:p>
            <w:r/>
            <w:r>
              <w:rPr>
                <w:sz w:val="20"/>
              </w:rPr>
              <w:t>28%</w:t>
            </w:r>
          </w:p>
        </w:tc>
        <w:tc>
          <w:tcPr>
            <w:tcW w:type="dxa" w:w="2016"/>
            <w:vAlign w:val="center"/>
          </w:tcPr>
          <w:p>
            <w:r/>
            <w:r>
              <w:rPr>
                <w:sz w:val="20"/>
              </w:rPr>
              <w:t>+19.1%</w:t>
            </w:r>
          </w:p>
        </w:tc>
        <w:tc>
          <w:tcPr>
            <w:tcW w:type="dxa" w:w="1152"/>
            <w:vAlign w:val="center"/>
          </w:tcPr>
          <w:p>
            <w:r/>
            <w:r>
              <w:rPr>
                <w:sz w:val="20"/>
              </w:rPr>
              <w:t>23.2%</w:t>
            </w:r>
          </w:p>
        </w:tc>
      </w:tr>
      <w:tr>
        <w:tc>
          <w:tcPr>
            <w:tcW w:type="dxa" w:w="5184"/>
            <w:vAlign w:val="center"/>
          </w:tcPr>
          <w:p>
            <w:r/>
            <w:r>
              <w:rPr>
                <w:sz w:val="20"/>
              </w:rPr>
              <w:t>Mediterranean &amp; Italian</w:t>
            </w:r>
          </w:p>
        </w:tc>
        <w:tc>
          <w:tcPr>
            <w:tcW w:type="dxa" w:w="1728"/>
            <w:vAlign w:val="center"/>
          </w:tcPr>
          <w:p>
            <w:r/>
            <w:r>
              <w:rPr>
                <w:sz w:val="20"/>
              </w:rPr>
              <w:t>18%</w:t>
            </w:r>
          </w:p>
        </w:tc>
        <w:tc>
          <w:tcPr>
            <w:tcW w:type="dxa" w:w="2016"/>
            <w:vAlign w:val="center"/>
          </w:tcPr>
          <w:p>
            <w:r/>
            <w:r>
              <w:rPr>
                <w:sz w:val="20"/>
              </w:rPr>
              <w:t>+8.5%</w:t>
            </w:r>
          </w:p>
        </w:tc>
        <w:tc>
          <w:tcPr>
            <w:tcW w:type="dxa" w:w="1152"/>
            <w:vAlign w:val="center"/>
          </w:tcPr>
          <w:p>
            <w:r/>
            <w:r>
              <w:rPr>
                <w:sz w:val="20"/>
              </w:rPr>
              <w:t>22.1%</w:t>
            </w:r>
          </w:p>
        </w:tc>
      </w:tr>
      <w:tr>
        <w:tc>
          <w:tcPr>
            <w:tcW w:type="dxa" w:w="5184"/>
            <w:vAlign w:val="center"/>
          </w:tcPr>
          <w:p>
            <w:r/>
            <w:r>
              <w:rPr>
                <w:sz w:val="20"/>
              </w:rPr>
              <w:t>Other ethnic (Caribbean, African, Indian small base)</w:t>
            </w:r>
          </w:p>
        </w:tc>
        <w:tc>
          <w:tcPr>
            <w:tcW w:type="dxa" w:w="1728"/>
            <w:vAlign w:val="center"/>
          </w:tcPr>
          <w:p>
            <w:r/>
            <w:r>
              <w:rPr>
                <w:sz w:val="20"/>
              </w:rPr>
              <w:t>7%</w:t>
            </w:r>
          </w:p>
        </w:tc>
        <w:tc>
          <w:tcPr>
            <w:tcW w:type="dxa" w:w="2016"/>
            <w:vAlign w:val="center"/>
          </w:tcPr>
          <w:p>
            <w:r/>
            <w:r>
              <w:rPr>
                <w:sz w:val="20"/>
              </w:rPr>
              <w:t>+12.0%</w:t>
            </w:r>
          </w:p>
        </w:tc>
        <w:tc>
          <w:tcPr>
            <w:tcW w:type="dxa" w:w="1152"/>
            <w:vAlign w:val="center"/>
          </w:tcPr>
          <w:p>
            <w:r/>
            <w:r>
              <w:rPr>
                <w:sz w:val="20"/>
              </w:rPr>
              <w:t>23.8%</w:t>
            </w:r>
          </w:p>
        </w:tc>
      </w:tr>
      <w:tr>
        <w:tc>
          <w:tcPr>
            <w:tcW w:type="dxa" w:w="5184"/>
            <w:vAlign w:val="center"/>
          </w:tcPr>
          <w:p>
            <w:r/>
            <w:r>
              <w:rPr>
                <w:sz w:val="20"/>
              </w:rPr>
              <w:t>Cross-line / mainstream complement</w:t>
            </w:r>
          </w:p>
        </w:tc>
        <w:tc>
          <w:tcPr>
            <w:tcW w:type="dxa" w:w="1728"/>
            <w:vAlign w:val="center"/>
          </w:tcPr>
          <w:p>
            <w:r/>
            <w:r>
              <w:rPr>
                <w:sz w:val="20"/>
              </w:rPr>
              <w:t>5%</w:t>
            </w:r>
          </w:p>
        </w:tc>
        <w:tc>
          <w:tcPr>
            <w:tcW w:type="dxa" w:w="2016"/>
            <w:vAlign w:val="center"/>
          </w:tcPr>
          <w:p>
            <w:r/>
            <w:r>
              <w:rPr>
                <w:sz w:val="20"/>
              </w:rPr>
              <w:t>+4.0%</w:t>
            </w:r>
          </w:p>
        </w:tc>
        <w:tc>
          <w:tcPr>
            <w:tcW w:type="dxa" w:w="1152"/>
            <w:vAlign w:val="center"/>
          </w:tcPr>
          <w:p>
            <w:r/>
            <w:r>
              <w:rPr>
                <w:sz w:val="20"/>
              </w:rPr>
              <w:t>16.5%</w:t>
            </w:r>
          </w:p>
        </w:tc>
      </w:tr>
    </w:tbl>
    <w:p>
      <w:r>
        <w:t>Customer base is fragmented: top 10 customers represent 11% of revenue; top 50 represent 28%. 78% of customers are independent restaurant operators or small (sub-20-unit) regional chains. Wholesum holds preferred-distributor status with several emerging restaurant brands (e.g., Velvet Taco, Coco's Modern Mexican, Bibim Box) signaling continued share gain in the fastest-growing operator cohort.</w:t>
      </w:r>
    </w:p>
    <w:p>
      <w:pPr>
        <w:pStyle w:val="Heading1"/>
      </w:pPr>
      <w:r>
        <w:rPr>
          <w:color w:val="1F2A44"/>
        </w:rPr>
        <w:t>4. Market and competitive landscape</w:t>
      </w:r>
    </w:p>
    <w:p>
      <w:r>
        <w:t>The US foodservice distribution market is approximately $310B (2022), growing at ~4% CAGR. Within this, the specialty / ethnic segment is approximately $32B (10% of total) and is growing 8–10% CAGR, driven by demographic shifts, restaurant menu evolution, and the post-pandemic preference for authentic regional cuisine in casual dining and fast-casual segments.</w:t>
      </w:r>
    </w:p>
    <w:p>
      <w:pPr>
        <w:pStyle w:val="Heading3"/>
      </w:pPr>
      <w:r>
        <w:rPr>
          <w:color w:val="1F2A44"/>
        </w:rPr>
        <w:t>Competitive set</w:t>
      </w:r>
    </w:p>
    <w:tbl>
      <w:tblPr>
        <w:tblStyle w:val="LightGrid-Accent1"/>
        <w:tblW w:type="auto" w:w="0"/>
        <w:tblLook w:firstColumn="1" w:firstRow="1" w:lastColumn="0" w:lastRow="0" w:noHBand="0" w:noVBand="1" w:val="04A0"/>
      </w:tblPr>
      <w:tblGrid>
        <w:gridCol w:w="3120"/>
        <w:gridCol w:w="3120"/>
        <w:gridCol w:w="3120"/>
      </w:tblGrid>
      <w:tr>
        <w:tc>
          <w:tcPr>
            <w:tcW w:type="dxa" w:w="3456"/>
            <w:shd w:val="clear" w:color="auto" w:fill="1F2A44"/>
            <w:vAlign w:val="center"/>
          </w:tcPr>
          <w:p>
            <w:r/>
            <w:r>
              <w:rPr>
                <w:b/>
                <w:color w:val="FFFFFF"/>
                <w:sz w:val="20"/>
              </w:rPr>
              <w:t>Category</w:t>
            </w:r>
          </w:p>
        </w:tc>
        <w:tc>
          <w:tcPr>
            <w:tcW w:type="dxa" w:w="4032"/>
            <w:shd w:val="clear" w:color="auto" w:fill="1F2A44"/>
            <w:vAlign w:val="center"/>
          </w:tcPr>
          <w:p>
            <w:r/>
            <w:r>
              <w:rPr>
                <w:b/>
                <w:color w:val="FFFFFF"/>
                <w:sz w:val="20"/>
              </w:rPr>
              <w:t>Players</w:t>
            </w:r>
          </w:p>
        </w:tc>
        <w:tc>
          <w:tcPr>
            <w:tcW w:type="dxa" w:w="2880"/>
            <w:shd w:val="clear" w:color="auto" w:fill="1F2A44"/>
            <w:vAlign w:val="center"/>
          </w:tcPr>
          <w:p>
            <w:r/>
            <w:r>
              <w:rPr>
                <w:b/>
                <w:color w:val="FFFFFF"/>
                <w:sz w:val="20"/>
              </w:rPr>
              <w:t>Strategic positioning</w:t>
            </w:r>
          </w:p>
        </w:tc>
      </w:tr>
      <w:tr>
        <w:tc>
          <w:tcPr>
            <w:tcW w:type="dxa" w:w="3456"/>
            <w:vAlign w:val="center"/>
          </w:tcPr>
          <w:p>
            <w:r/>
            <w:r>
              <w:rPr>
                <w:sz w:val="20"/>
              </w:rPr>
              <w:t>National broadliners with specialty divisions</w:t>
            </w:r>
          </w:p>
        </w:tc>
        <w:tc>
          <w:tcPr>
            <w:tcW w:type="dxa" w:w="4032"/>
            <w:vAlign w:val="center"/>
          </w:tcPr>
          <w:p>
            <w:r/>
            <w:r>
              <w:rPr>
                <w:sz w:val="20"/>
              </w:rPr>
              <w:t>Sysco (Daily's Foods, Buckhead Beef), US Foods (Stock Yards, Chef'Store), PFG (Vistar)</w:t>
            </w:r>
          </w:p>
        </w:tc>
        <w:tc>
          <w:tcPr>
            <w:tcW w:type="dxa" w:w="2880"/>
            <w:vAlign w:val="center"/>
          </w:tcPr>
          <w:p>
            <w:r/>
            <w:r>
              <w:rPr>
                <w:sz w:val="20"/>
              </w:rPr>
              <w:t>Compete on scale + breadth; weaker depth in ethnic SKUs</w:t>
            </w:r>
          </w:p>
        </w:tc>
      </w:tr>
      <w:tr>
        <w:tc>
          <w:tcPr>
            <w:tcW w:type="dxa" w:w="3456"/>
            <w:vAlign w:val="center"/>
          </w:tcPr>
          <w:p>
            <w:r/>
            <w:r>
              <w:rPr>
                <w:sz w:val="20"/>
              </w:rPr>
              <w:t>Direct competitors — specialty foodservice</w:t>
            </w:r>
          </w:p>
        </w:tc>
        <w:tc>
          <w:tcPr>
            <w:tcW w:type="dxa" w:w="4032"/>
            <w:vAlign w:val="center"/>
          </w:tcPr>
          <w:p>
            <w:r/>
            <w:r>
              <w:rPr>
                <w:sz w:val="20"/>
              </w:rPr>
              <w:t>Wholesum, Restaurant Depot/Jetro (cash-and-carry), Cheney Brothers (Southeast)</w:t>
            </w:r>
          </w:p>
        </w:tc>
        <w:tc>
          <w:tcPr>
            <w:tcW w:type="dxa" w:w="2880"/>
            <w:vAlign w:val="center"/>
          </w:tcPr>
          <w:p>
            <w:r/>
            <w:r>
              <w:rPr>
                <w:sz w:val="20"/>
              </w:rPr>
              <w:t>Direct competition; Wholesum is the most diversified</w:t>
            </w:r>
          </w:p>
        </w:tc>
      </w:tr>
      <w:tr>
        <w:tc>
          <w:tcPr>
            <w:tcW w:type="dxa" w:w="3456"/>
            <w:vAlign w:val="center"/>
          </w:tcPr>
          <w:p>
            <w:r/>
            <w:r>
              <w:rPr>
                <w:sz w:val="20"/>
              </w:rPr>
              <w:t>Regional ethnic specialists</w:t>
            </w:r>
          </w:p>
        </w:tc>
        <w:tc>
          <w:tcPr>
            <w:tcW w:type="dxa" w:w="4032"/>
            <w:vAlign w:val="center"/>
          </w:tcPr>
          <w:p>
            <w:r/>
            <w:r>
              <w:rPr>
                <w:sz w:val="20"/>
              </w:rPr>
              <w:t>Goya Foods Distribution, Sun Fat Seafood, La Plaza Distributors, Krasdale</w:t>
            </w:r>
          </w:p>
        </w:tc>
        <w:tc>
          <w:tcPr>
            <w:tcW w:type="dxa" w:w="2880"/>
            <w:vAlign w:val="center"/>
          </w:tcPr>
          <w:p>
            <w:r/>
            <w:r>
              <w:rPr>
                <w:sz w:val="20"/>
              </w:rPr>
              <w:t>Single-segment; smaller scale; bolt-on candidates</w:t>
            </w:r>
          </w:p>
        </w:tc>
      </w:tr>
      <w:tr>
        <w:tc>
          <w:tcPr>
            <w:tcW w:type="dxa" w:w="3456"/>
            <w:vAlign w:val="center"/>
          </w:tcPr>
          <w:p>
            <w:r/>
            <w:r>
              <w:rPr>
                <w:sz w:val="20"/>
              </w:rPr>
              <w:t>Online B2B platforms</w:t>
            </w:r>
          </w:p>
        </w:tc>
        <w:tc>
          <w:tcPr>
            <w:tcW w:type="dxa" w:w="4032"/>
            <w:vAlign w:val="center"/>
          </w:tcPr>
          <w:p>
            <w:r/>
            <w:r>
              <w:rPr>
                <w:sz w:val="20"/>
              </w:rPr>
              <w:t>Choco, Notch, Cut+Dry, Pepper</w:t>
            </w:r>
          </w:p>
        </w:tc>
        <w:tc>
          <w:tcPr>
            <w:tcW w:type="dxa" w:w="2880"/>
            <w:vAlign w:val="center"/>
          </w:tcPr>
          <w:p>
            <w:r/>
            <w:r>
              <w:rPr>
                <w:sz w:val="20"/>
              </w:rPr>
              <w:t>Tech-enabled aggregators; complementary rather than threatening at current scale</w:t>
            </w:r>
          </w:p>
        </w:tc>
      </w:tr>
    </w:tbl>
    <w:p>
      <w:pPr>
        <w:pStyle w:val="Heading1"/>
      </w:pPr>
      <w:r>
        <w:rPr>
          <w:color w:val="1F2A44"/>
        </w:rPr>
        <w:t>5. Financial overview</w:t>
      </w:r>
    </w:p>
    <w:p>
      <w:pPr>
        <w:pStyle w:val="Heading3"/>
      </w:pPr>
      <w:r>
        <w:rPr>
          <w:color w:val="1F2A44"/>
        </w:rPr>
        <w:t>Historical and projected P&amp;L ($M)</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016"/>
            <w:shd w:val="clear" w:color="auto" w:fill="1F2A44"/>
            <w:vAlign w:val="center"/>
          </w:tcPr>
          <w:p>
            <w:r/>
            <w:r>
              <w:rPr>
                <w:b/>
                <w:color w:val="FFFFFF"/>
                <w:sz w:val="20"/>
              </w:rPr>
              <w:t>Metric</w:t>
            </w:r>
          </w:p>
        </w:tc>
        <w:tc>
          <w:tcPr>
            <w:tcW w:type="dxa" w:w="1296"/>
            <w:shd w:val="clear" w:color="auto" w:fill="1F2A44"/>
            <w:vAlign w:val="center"/>
          </w:tcPr>
          <w:p>
            <w:r/>
            <w:r>
              <w:rPr>
                <w:b/>
                <w:color w:val="FFFFFF"/>
                <w:sz w:val="20"/>
              </w:rPr>
              <w:t>FY19A</w:t>
            </w:r>
          </w:p>
        </w:tc>
        <w:tc>
          <w:tcPr>
            <w:tcW w:type="dxa" w:w="1296"/>
            <w:shd w:val="clear" w:color="auto" w:fill="1F2A44"/>
            <w:vAlign w:val="center"/>
          </w:tcPr>
          <w:p>
            <w:r/>
            <w:r>
              <w:rPr>
                <w:b/>
                <w:color w:val="FFFFFF"/>
                <w:sz w:val="20"/>
              </w:rPr>
              <w:t>FY20A</w:t>
            </w:r>
          </w:p>
        </w:tc>
        <w:tc>
          <w:tcPr>
            <w:tcW w:type="dxa" w:w="1296"/>
            <w:shd w:val="clear" w:color="auto" w:fill="1F2A44"/>
            <w:vAlign w:val="center"/>
          </w:tcPr>
          <w:p>
            <w:r/>
            <w:r>
              <w:rPr>
                <w:b/>
                <w:color w:val="FFFFFF"/>
                <w:sz w:val="20"/>
              </w:rPr>
              <w:t>FY21A</w:t>
            </w:r>
          </w:p>
        </w:tc>
        <w:tc>
          <w:tcPr>
            <w:tcW w:type="dxa" w:w="1368"/>
            <w:shd w:val="clear" w:color="auto" w:fill="1F2A44"/>
            <w:vAlign w:val="center"/>
          </w:tcPr>
          <w:p>
            <w:r/>
            <w:r>
              <w:rPr>
                <w:b/>
                <w:color w:val="FFFFFF"/>
                <w:sz w:val="20"/>
              </w:rPr>
              <w:t>FY22 LTM</w:t>
            </w:r>
          </w:p>
        </w:tc>
        <w:tc>
          <w:tcPr>
            <w:tcW w:type="dxa" w:w="1296"/>
            <w:shd w:val="clear" w:color="auto" w:fill="1F2A44"/>
            <w:vAlign w:val="center"/>
          </w:tcPr>
          <w:p>
            <w:r/>
            <w:r>
              <w:rPr>
                <w:b/>
                <w:color w:val="FFFFFF"/>
                <w:sz w:val="20"/>
              </w:rPr>
              <w:t>FY23B</w:t>
            </w:r>
          </w:p>
        </w:tc>
        <w:tc>
          <w:tcPr>
            <w:tcW w:type="dxa" w:w="1296"/>
            <w:shd w:val="clear" w:color="auto" w:fill="1F2A44"/>
            <w:vAlign w:val="center"/>
          </w:tcPr>
          <w:p>
            <w:r/>
            <w:r>
              <w:rPr>
                <w:b/>
                <w:color w:val="FFFFFF"/>
                <w:sz w:val="20"/>
              </w:rPr>
              <w:t>FY24B</w:t>
            </w:r>
          </w:p>
        </w:tc>
        <w:tc>
          <w:tcPr>
            <w:tcW w:type="dxa" w:w="1296"/>
            <w:shd w:val="clear" w:color="auto" w:fill="1F2A44"/>
            <w:vAlign w:val="center"/>
          </w:tcPr>
          <w:p>
            <w:r/>
            <w:r>
              <w:rPr>
                <w:b/>
                <w:color w:val="FFFFFF"/>
                <w:sz w:val="20"/>
              </w:rPr>
              <w:t>FY25B</w:t>
            </w:r>
          </w:p>
        </w:tc>
        <w:tc>
          <w:tcPr>
            <w:tcW w:type="dxa" w:w="1296"/>
            <w:shd w:val="clear" w:color="auto" w:fill="1F2A44"/>
            <w:vAlign w:val="center"/>
          </w:tcPr>
          <w:p>
            <w:r/>
            <w:r>
              <w:rPr>
                <w:b/>
                <w:color w:val="FFFFFF"/>
                <w:sz w:val="20"/>
              </w:rPr>
              <w:t>FY26B</w:t>
            </w:r>
          </w:p>
        </w:tc>
      </w:tr>
      <w:tr>
        <w:tc>
          <w:tcPr>
            <w:tcW w:type="dxa" w:w="2016"/>
            <w:vAlign w:val="center"/>
          </w:tcPr>
          <w:p>
            <w:r/>
            <w:r>
              <w:rPr>
                <w:sz w:val="20"/>
              </w:rPr>
              <w:t>Revenue</w:t>
            </w:r>
          </w:p>
        </w:tc>
        <w:tc>
          <w:tcPr>
            <w:tcW w:type="dxa" w:w="1296"/>
            <w:vAlign w:val="center"/>
          </w:tcPr>
          <w:p>
            <w:r/>
            <w:r>
              <w:rPr>
                <w:sz w:val="20"/>
              </w:rPr>
              <w:t>$685</w:t>
            </w:r>
          </w:p>
        </w:tc>
        <w:tc>
          <w:tcPr>
            <w:tcW w:type="dxa" w:w="1296"/>
            <w:vAlign w:val="center"/>
          </w:tcPr>
          <w:p>
            <w:r/>
            <w:r>
              <w:rPr>
                <w:sz w:val="20"/>
              </w:rPr>
              <w:t>$610</w:t>
            </w:r>
          </w:p>
        </w:tc>
        <w:tc>
          <w:tcPr>
            <w:tcW w:type="dxa" w:w="1296"/>
            <w:vAlign w:val="center"/>
          </w:tcPr>
          <w:p>
            <w:r/>
            <w:r>
              <w:rPr>
                <w:sz w:val="20"/>
              </w:rPr>
              <w:t>$780</w:t>
            </w:r>
          </w:p>
        </w:tc>
        <w:tc>
          <w:tcPr>
            <w:tcW w:type="dxa" w:w="1368"/>
            <w:vAlign w:val="center"/>
          </w:tcPr>
          <w:p>
            <w:r/>
            <w:r>
              <w:rPr>
                <w:sz w:val="20"/>
              </w:rPr>
              <w:t>$885</w:t>
            </w:r>
          </w:p>
        </w:tc>
        <w:tc>
          <w:tcPr>
            <w:tcW w:type="dxa" w:w="1296"/>
            <w:vAlign w:val="center"/>
          </w:tcPr>
          <w:p>
            <w:r/>
            <w:r>
              <w:rPr>
                <w:sz w:val="20"/>
              </w:rPr>
              <w:t>$988</w:t>
            </w:r>
          </w:p>
        </w:tc>
        <w:tc>
          <w:tcPr>
            <w:tcW w:type="dxa" w:w="1296"/>
            <w:vAlign w:val="center"/>
          </w:tcPr>
          <w:p>
            <w:r/>
            <w:r>
              <w:rPr>
                <w:sz w:val="20"/>
              </w:rPr>
              <w:t>$1,096</w:t>
            </w:r>
          </w:p>
        </w:tc>
        <w:tc>
          <w:tcPr>
            <w:tcW w:type="dxa" w:w="1296"/>
            <w:vAlign w:val="center"/>
          </w:tcPr>
          <w:p>
            <w:r/>
            <w:r>
              <w:rPr>
                <w:sz w:val="20"/>
              </w:rPr>
              <w:t>$1,205</w:t>
            </w:r>
          </w:p>
        </w:tc>
        <w:tc>
          <w:tcPr>
            <w:tcW w:type="dxa" w:w="1296"/>
            <w:vAlign w:val="center"/>
          </w:tcPr>
          <w:p>
            <w:r/>
            <w:r>
              <w:rPr>
                <w:sz w:val="20"/>
              </w:rPr>
              <w:t>$1,309</w:t>
            </w:r>
          </w:p>
        </w:tc>
      </w:tr>
      <w:tr>
        <w:tc>
          <w:tcPr>
            <w:tcW w:type="dxa" w:w="2016"/>
            <w:vAlign w:val="center"/>
          </w:tcPr>
          <w:p>
            <w:r/>
            <w:r>
              <w:rPr>
                <w:sz w:val="20"/>
              </w:rPr>
              <w:t>YoY growth</w:t>
            </w:r>
          </w:p>
        </w:tc>
        <w:tc>
          <w:tcPr>
            <w:tcW w:type="dxa" w:w="1296"/>
            <w:vAlign w:val="center"/>
          </w:tcPr>
          <w:p>
            <w:r/>
            <w:r>
              <w:rPr>
                <w:sz w:val="20"/>
              </w:rPr>
              <w:t>—</w:t>
            </w:r>
          </w:p>
        </w:tc>
        <w:tc>
          <w:tcPr>
            <w:tcW w:type="dxa" w:w="1296"/>
            <w:vAlign w:val="center"/>
          </w:tcPr>
          <w:p>
            <w:r/>
            <w:r>
              <w:rPr>
                <w:sz w:val="20"/>
              </w:rPr>
              <w:t>(11.0%)</w:t>
            </w:r>
          </w:p>
        </w:tc>
        <w:tc>
          <w:tcPr>
            <w:tcW w:type="dxa" w:w="1296"/>
            <w:vAlign w:val="center"/>
          </w:tcPr>
          <w:p>
            <w:r/>
            <w:r>
              <w:rPr>
                <w:sz w:val="20"/>
              </w:rPr>
              <w:t>27.9%</w:t>
            </w:r>
          </w:p>
        </w:tc>
        <w:tc>
          <w:tcPr>
            <w:tcW w:type="dxa" w:w="1368"/>
            <w:vAlign w:val="center"/>
          </w:tcPr>
          <w:p>
            <w:r/>
            <w:r>
              <w:rPr>
                <w:sz w:val="20"/>
              </w:rPr>
              <w:t>13.5%</w:t>
            </w:r>
          </w:p>
        </w:tc>
        <w:tc>
          <w:tcPr>
            <w:tcW w:type="dxa" w:w="1296"/>
            <w:vAlign w:val="center"/>
          </w:tcPr>
          <w:p>
            <w:r/>
            <w:r>
              <w:rPr>
                <w:sz w:val="20"/>
              </w:rPr>
              <w:t>11.6%</w:t>
            </w:r>
          </w:p>
        </w:tc>
        <w:tc>
          <w:tcPr>
            <w:tcW w:type="dxa" w:w="1296"/>
            <w:vAlign w:val="center"/>
          </w:tcPr>
          <w:p>
            <w:r/>
            <w:r>
              <w:rPr>
                <w:sz w:val="20"/>
              </w:rPr>
              <w:t>10.9%</w:t>
            </w:r>
          </w:p>
        </w:tc>
        <w:tc>
          <w:tcPr>
            <w:tcW w:type="dxa" w:w="1296"/>
            <w:vAlign w:val="center"/>
          </w:tcPr>
          <w:p>
            <w:r/>
            <w:r>
              <w:rPr>
                <w:sz w:val="20"/>
              </w:rPr>
              <w:t>9.9%</w:t>
            </w:r>
          </w:p>
        </w:tc>
        <w:tc>
          <w:tcPr>
            <w:tcW w:type="dxa" w:w="1296"/>
            <w:vAlign w:val="center"/>
          </w:tcPr>
          <w:p>
            <w:r/>
            <w:r>
              <w:rPr>
                <w:sz w:val="20"/>
              </w:rPr>
              <w:t>8.6%</w:t>
            </w:r>
          </w:p>
        </w:tc>
      </w:tr>
      <w:tr>
        <w:tc>
          <w:tcPr>
            <w:tcW w:type="dxa" w:w="2016"/>
            <w:vAlign w:val="center"/>
          </w:tcPr>
          <w:p>
            <w:r/>
            <w:r>
              <w:rPr>
                <w:sz w:val="20"/>
              </w:rPr>
              <w:t>Gross margin</w:t>
            </w:r>
          </w:p>
        </w:tc>
        <w:tc>
          <w:tcPr>
            <w:tcW w:type="dxa" w:w="1296"/>
            <w:vAlign w:val="center"/>
          </w:tcPr>
          <w:p>
            <w:r/>
            <w:r>
              <w:rPr>
                <w:sz w:val="20"/>
              </w:rPr>
              <w:t>21.4%</w:t>
            </w:r>
          </w:p>
        </w:tc>
        <w:tc>
          <w:tcPr>
            <w:tcW w:type="dxa" w:w="1296"/>
            <w:vAlign w:val="center"/>
          </w:tcPr>
          <w:p>
            <w:r/>
            <w:r>
              <w:rPr>
                <w:sz w:val="20"/>
              </w:rPr>
              <w:t>20.8%</w:t>
            </w:r>
          </w:p>
        </w:tc>
        <w:tc>
          <w:tcPr>
            <w:tcW w:type="dxa" w:w="1296"/>
            <w:vAlign w:val="center"/>
          </w:tcPr>
          <w:p>
            <w:r/>
            <w:r>
              <w:rPr>
                <w:sz w:val="20"/>
              </w:rPr>
              <w:t>21.2%</w:t>
            </w:r>
          </w:p>
        </w:tc>
        <w:tc>
          <w:tcPr>
            <w:tcW w:type="dxa" w:w="1368"/>
            <w:vAlign w:val="center"/>
          </w:tcPr>
          <w:p>
            <w:r/>
            <w:r>
              <w:rPr>
                <w:sz w:val="20"/>
              </w:rPr>
              <w:t>21.8%</w:t>
            </w:r>
          </w:p>
        </w:tc>
        <w:tc>
          <w:tcPr>
            <w:tcW w:type="dxa" w:w="1296"/>
            <w:vAlign w:val="center"/>
          </w:tcPr>
          <w:p>
            <w:r/>
            <w:r>
              <w:rPr>
                <w:sz w:val="20"/>
              </w:rPr>
              <w:t>22.4%</w:t>
            </w:r>
          </w:p>
        </w:tc>
        <w:tc>
          <w:tcPr>
            <w:tcW w:type="dxa" w:w="1296"/>
            <w:vAlign w:val="center"/>
          </w:tcPr>
          <w:p>
            <w:r/>
            <w:r>
              <w:rPr>
                <w:sz w:val="20"/>
              </w:rPr>
              <w:t>22.9%</w:t>
            </w:r>
          </w:p>
        </w:tc>
        <w:tc>
          <w:tcPr>
            <w:tcW w:type="dxa" w:w="1296"/>
            <w:vAlign w:val="center"/>
          </w:tcPr>
          <w:p>
            <w:r/>
            <w:r>
              <w:rPr>
                <w:sz w:val="20"/>
              </w:rPr>
              <w:t>23.2%</w:t>
            </w:r>
          </w:p>
        </w:tc>
        <w:tc>
          <w:tcPr>
            <w:tcW w:type="dxa" w:w="1296"/>
            <w:vAlign w:val="center"/>
          </w:tcPr>
          <w:p>
            <w:r/>
            <w:r>
              <w:rPr>
                <w:sz w:val="20"/>
              </w:rPr>
              <w:t>23.4%</w:t>
            </w:r>
          </w:p>
        </w:tc>
      </w:tr>
      <w:tr>
        <w:tc>
          <w:tcPr>
            <w:tcW w:type="dxa" w:w="2016"/>
            <w:vAlign w:val="center"/>
          </w:tcPr>
          <w:p>
            <w:r/>
            <w:r>
              <w:rPr>
                <w:sz w:val="20"/>
              </w:rPr>
              <w:t>Adj. EBITDA</w:t>
            </w:r>
          </w:p>
        </w:tc>
        <w:tc>
          <w:tcPr>
            <w:tcW w:type="dxa" w:w="1296"/>
            <w:vAlign w:val="center"/>
          </w:tcPr>
          <w:p>
            <w:r/>
            <w:r>
              <w:rPr>
                <w:sz w:val="20"/>
              </w:rPr>
              <w:t>$55</w:t>
            </w:r>
          </w:p>
        </w:tc>
        <w:tc>
          <w:tcPr>
            <w:tcW w:type="dxa" w:w="1296"/>
            <w:vAlign w:val="center"/>
          </w:tcPr>
          <w:p>
            <w:r/>
            <w:r>
              <w:rPr>
                <w:sz w:val="20"/>
              </w:rPr>
              <w:t>$41</w:t>
            </w:r>
          </w:p>
        </w:tc>
        <w:tc>
          <w:tcPr>
            <w:tcW w:type="dxa" w:w="1296"/>
            <w:vAlign w:val="center"/>
          </w:tcPr>
          <w:p>
            <w:r/>
            <w:r>
              <w:rPr>
                <w:sz w:val="20"/>
              </w:rPr>
              <w:t>$62</w:t>
            </w:r>
          </w:p>
        </w:tc>
        <w:tc>
          <w:tcPr>
            <w:tcW w:type="dxa" w:w="1368"/>
            <w:vAlign w:val="center"/>
          </w:tcPr>
          <w:p>
            <w:r/>
            <w:r>
              <w:rPr>
                <w:sz w:val="20"/>
              </w:rPr>
              <w:t>$72</w:t>
            </w:r>
          </w:p>
        </w:tc>
        <w:tc>
          <w:tcPr>
            <w:tcW w:type="dxa" w:w="1296"/>
            <w:vAlign w:val="center"/>
          </w:tcPr>
          <w:p>
            <w:r/>
            <w:r>
              <w:rPr>
                <w:sz w:val="20"/>
              </w:rPr>
              <w:t>$84</w:t>
            </w:r>
          </w:p>
        </w:tc>
        <w:tc>
          <w:tcPr>
            <w:tcW w:type="dxa" w:w="1296"/>
            <w:vAlign w:val="center"/>
          </w:tcPr>
          <w:p>
            <w:r/>
            <w:r>
              <w:rPr>
                <w:sz w:val="20"/>
              </w:rPr>
              <w:t>$98</w:t>
            </w:r>
          </w:p>
        </w:tc>
        <w:tc>
          <w:tcPr>
            <w:tcW w:type="dxa" w:w="1296"/>
            <w:vAlign w:val="center"/>
          </w:tcPr>
          <w:p>
            <w:r/>
            <w:r>
              <w:rPr>
                <w:sz w:val="20"/>
              </w:rPr>
              <w:t>$112</w:t>
            </w:r>
          </w:p>
        </w:tc>
        <w:tc>
          <w:tcPr>
            <w:tcW w:type="dxa" w:w="1296"/>
            <w:vAlign w:val="center"/>
          </w:tcPr>
          <w:p>
            <w:r/>
            <w:r>
              <w:rPr>
                <w:sz w:val="20"/>
              </w:rPr>
              <w:t>$122</w:t>
            </w:r>
          </w:p>
        </w:tc>
      </w:tr>
      <w:tr>
        <w:tc>
          <w:tcPr>
            <w:tcW w:type="dxa" w:w="2016"/>
            <w:vAlign w:val="center"/>
          </w:tcPr>
          <w:p>
            <w:r/>
            <w:r>
              <w:rPr>
                <w:sz w:val="20"/>
              </w:rPr>
              <w:t>EBITDA margin</w:t>
            </w:r>
          </w:p>
        </w:tc>
        <w:tc>
          <w:tcPr>
            <w:tcW w:type="dxa" w:w="1296"/>
            <w:vAlign w:val="center"/>
          </w:tcPr>
          <w:p>
            <w:r/>
            <w:r>
              <w:rPr>
                <w:sz w:val="20"/>
              </w:rPr>
              <w:t>8.0%</w:t>
            </w:r>
          </w:p>
        </w:tc>
        <w:tc>
          <w:tcPr>
            <w:tcW w:type="dxa" w:w="1296"/>
            <w:vAlign w:val="center"/>
          </w:tcPr>
          <w:p>
            <w:r/>
            <w:r>
              <w:rPr>
                <w:sz w:val="20"/>
              </w:rPr>
              <w:t>6.7%</w:t>
            </w:r>
          </w:p>
        </w:tc>
        <w:tc>
          <w:tcPr>
            <w:tcW w:type="dxa" w:w="1296"/>
            <w:vAlign w:val="center"/>
          </w:tcPr>
          <w:p>
            <w:r/>
            <w:r>
              <w:rPr>
                <w:sz w:val="20"/>
              </w:rPr>
              <w:t>7.9%</w:t>
            </w:r>
          </w:p>
        </w:tc>
        <w:tc>
          <w:tcPr>
            <w:tcW w:type="dxa" w:w="1368"/>
            <w:vAlign w:val="center"/>
          </w:tcPr>
          <w:p>
            <w:r/>
            <w:r>
              <w:rPr>
                <w:sz w:val="20"/>
              </w:rPr>
              <w:t>8.2%</w:t>
            </w:r>
          </w:p>
        </w:tc>
        <w:tc>
          <w:tcPr>
            <w:tcW w:type="dxa" w:w="1296"/>
            <w:vAlign w:val="center"/>
          </w:tcPr>
          <w:p>
            <w:r/>
            <w:r>
              <w:rPr>
                <w:sz w:val="20"/>
              </w:rPr>
              <w:t>8.5%</w:t>
            </w:r>
          </w:p>
        </w:tc>
        <w:tc>
          <w:tcPr>
            <w:tcW w:type="dxa" w:w="1296"/>
            <w:vAlign w:val="center"/>
          </w:tcPr>
          <w:p>
            <w:r/>
            <w:r>
              <w:rPr>
                <w:sz w:val="20"/>
              </w:rPr>
              <w:t>8.9%</w:t>
            </w:r>
          </w:p>
        </w:tc>
        <w:tc>
          <w:tcPr>
            <w:tcW w:type="dxa" w:w="1296"/>
            <w:vAlign w:val="center"/>
          </w:tcPr>
          <w:p>
            <w:r/>
            <w:r>
              <w:rPr>
                <w:sz w:val="20"/>
              </w:rPr>
              <w:t>9.3%</w:t>
            </w:r>
          </w:p>
        </w:tc>
        <w:tc>
          <w:tcPr>
            <w:tcW w:type="dxa" w:w="1296"/>
            <w:vAlign w:val="center"/>
          </w:tcPr>
          <w:p>
            <w:r/>
            <w:r>
              <w:rPr>
                <w:sz w:val="20"/>
              </w:rPr>
              <w:t>9.3%</w:t>
            </w:r>
          </w:p>
        </w:tc>
      </w:tr>
      <w:tr>
        <w:tc>
          <w:tcPr>
            <w:tcW w:type="dxa" w:w="2016"/>
            <w:vAlign w:val="center"/>
          </w:tcPr>
          <w:p>
            <w:r/>
            <w:r>
              <w:rPr>
                <w:sz w:val="20"/>
              </w:rPr>
              <w:t>Capex</w:t>
            </w:r>
          </w:p>
        </w:tc>
        <w:tc>
          <w:tcPr>
            <w:tcW w:type="dxa" w:w="1296"/>
            <w:vAlign w:val="center"/>
          </w:tcPr>
          <w:p>
            <w:r/>
            <w:r>
              <w:rPr>
                <w:sz w:val="20"/>
              </w:rPr>
              <w:t>($16)</w:t>
            </w:r>
          </w:p>
        </w:tc>
        <w:tc>
          <w:tcPr>
            <w:tcW w:type="dxa" w:w="1296"/>
            <w:vAlign w:val="center"/>
          </w:tcPr>
          <w:p>
            <w:r/>
            <w:r>
              <w:rPr>
                <w:sz w:val="20"/>
              </w:rPr>
              <w:t>($12)</w:t>
            </w:r>
          </w:p>
        </w:tc>
        <w:tc>
          <w:tcPr>
            <w:tcW w:type="dxa" w:w="1296"/>
            <w:vAlign w:val="center"/>
          </w:tcPr>
          <w:p>
            <w:r/>
            <w:r>
              <w:rPr>
                <w:sz w:val="20"/>
              </w:rPr>
              <w:t>($15)</w:t>
            </w:r>
          </w:p>
        </w:tc>
        <w:tc>
          <w:tcPr>
            <w:tcW w:type="dxa" w:w="1368"/>
            <w:vAlign w:val="center"/>
          </w:tcPr>
          <w:p>
            <w:r/>
            <w:r>
              <w:rPr>
                <w:sz w:val="20"/>
              </w:rPr>
              <w:t>($18)</w:t>
            </w:r>
          </w:p>
        </w:tc>
        <w:tc>
          <w:tcPr>
            <w:tcW w:type="dxa" w:w="1296"/>
            <w:vAlign w:val="center"/>
          </w:tcPr>
          <w:p>
            <w:r/>
            <w:r>
              <w:rPr>
                <w:sz w:val="20"/>
              </w:rPr>
              <w:t>($22)</w:t>
            </w:r>
          </w:p>
        </w:tc>
        <w:tc>
          <w:tcPr>
            <w:tcW w:type="dxa" w:w="1296"/>
            <w:vAlign w:val="center"/>
          </w:tcPr>
          <w:p>
            <w:r/>
            <w:r>
              <w:rPr>
                <w:sz w:val="20"/>
              </w:rPr>
              <w:t>($24)</w:t>
            </w:r>
          </w:p>
        </w:tc>
        <w:tc>
          <w:tcPr>
            <w:tcW w:type="dxa" w:w="1296"/>
            <w:vAlign w:val="center"/>
          </w:tcPr>
          <w:p>
            <w:r/>
            <w:r>
              <w:rPr>
                <w:sz w:val="20"/>
              </w:rPr>
              <w:t>($25)</w:t>
            </w:r>
          </w:p>
        </w:tc>
        <w:tc>
          <w:tcPr>
            <w:tcW w:type="dxa" w:w="1296"/>
            <w:vAlign w:val="center"/>
          </w:tcPr>
          <w:p>
            <w:r/>
            <w:r>
              <w:rPr>
                <w:sz w:val="20"/>
              </w:rPr>
              <w:t>($25)</w:t>
            </w:r>
          </w:p>
        </w:tc>
      </w:tr>
      <w:tr>
        <w:tc>
          <w:tcPr>
            <w:tcW w:type="dxa" w:w="2016"/>
            <w:vAlign w:val="center"/>
          </w:tcPr>
          <w:p>
            <w:r/>
            <w:r>
              <w:rPr>
                <w:sz w:val="20"/>
              </w:rPr>
              <w:t>FCF</w:t>
            </w:r>
          </w:p>
        </w:tc>
        <w:tc>
          <w:tcPr>
            <w:tcW w:type="dxa" w:w="1296"/>
            <w:vAlign w:val="center"/>
          </w:tcPr>
          <w:p>
            <w:r/>
            <w:r>
              <w:rPr>
                <w:sz w:val="20"/>
              </w:rPr>
              <w:t>$25</w:t>
            </w:r>
          </w:p>
        </w:tc>
        <w:tc>
          <w:tcPr>
            <w:tcW w:type="dxa" w:w="1296"/>
            <w:vAlign w:val="center"/>
          </w:tcPr>
          <w:p>
            <w:r/>
            <w:r>
              <w:rPr>
                <w:sz w:val="20"/>
              </w:rPr>
              <w:t>$20</w:t>
            </w:r>
          </w:p>
        </w:tc>
        <w:tc>
          <w:tcPr>
            <w:tcW w:type="dxa" w:w="1296"/>
            <w:vAlign w:val="center"/>
          </w:tcPr>
          <w:p>
            <w:r/>
            <w:r>
              <w:rPr>
                <w:sz w:val="20"/>
              </w:rPr>
              <w:t>$32</w:t>
            </w:r>
          </w:p>
        </w:tc>
        <w:tc>
          <w:tcPr>
            <w:tcW w:type="dxa" w:w="1368"/>
            <w:vAlign w:val="center"/>
          </w:tcPr>
          <w:p>
            <w:r/>
            <w:r>
              <w:rPr>
                <w:sz w:val="20"/>
              </w:rPr>
              <w:t>$38</w:t>
            </w:r>
          </w:p>
        </w:tc>
        <w:tc>
          <w:tcPr>
            <w:tcW w:type="dxa" w:w="1296"/>
            <w:vAlign w:val="center"/>
          </w:tcPr>
          <w:p>
            <w:r/>
            <w:r>
              <w:rPr>
                <w:sz w:val="20"/>
              </w:rPr>
              <w:t>$44</w:t>
            </w:r>
          </w:p>
        </w:tc>
        <w:tc>
          <w:tcPr>
            <w:tcW w:type="dxa" w:w="1296"/>
            <w:vAlign w:val="center"/>
          </w:tcPr>
          <w:p>
            <w:r/>
            <w:r>
              <w:rPr>
                <w:sz w:val="20"/>
              </w:rPr>
              <w:t>$56</w:t>
            </w:r>
          </w:p>
        </w:tc>
        <w:tc>
          <w:tcPr>
            <w:tcW w:type="dxa" w:w="1296"/>
            <w:vAlign w:val="center"/>
          </w:tcPr>
          <w:p>
            <w:r/>
            <w:r>
              <w:rPr>
                <w:sz w:val="20"/>
              </w:rPr>
              <w:t>$71</w:t>
            </w:r>
          </w:p>
        </w:tc>
        <w:tc>
          <w:tcPr>
            <w:tcW w:type="dxa" w:w="1296"/>
            <w:vAlign w:val="center"/>
          </w:tcPr>
          <w:p>
            <w:r/>
            <w:r>
              <w:rPr>
                <w:sz w:val="20"/>
              </w:rPr>
              <w:t>$79</w:t>
            </w:r>
          </w:p>
        </w:tc>
      </w:tr>
    </w:tbl>
    <w:p>
      <w:pPr>
        <w:pStyle w:val="Heading1"/>
      </w:pPr>
      <w:r>
        <w:rPr>
          <w:color w:val="1F2A44"/>
        </w:rPr>
        <w:t>6. Key diligence findings</w:t>
      </w:r>
    </w:p>
    <w:p>
      <w:pPr>
        <w:pStyle w:val="Heading2"/>
      </w:pPr>
      <w:r>
        <w:rPr>
          <w:color w:val="1F2A44"/>
        </w:rPr>
        <w:t>6.1  Quality of earnings (EY)</w:t>
      </w:r>
    </w:p>
    <w:p>
      <w:r>
        <w:t>EY adjusted LTM EBITDA to $72.4M (from management reported $78.1M). Adjustments include $2.1M of non-recurring 2021 commodity-trading gains, $1.8M of family-related expenses (auto, travel, family-office allocations), $1.0M of one-time legal settlements, $0.8M reclass of deferred IT capex. Underlying business quality strong; receivables aging clean.</w:t>
      </w:r>
    </w:p>
    <w:p>
      <w:pPr>
        <w:pStyle w:val="Heading2"/>
      </w:pPr>
      <w:r>
        <w:rPr>
          <w:color w:val="1F2A44"/>
        </w:rPr>
        <w:t>6.2  Commercial diligence (Bain)</w:t>
      </w:r>
    </w:p>
    <w:p>
      <w:r>
        <w:t>Bain confirmed specialty / ethnic foodservice as the highest-growth segment within foodservice distribution. Bain's customer panel of 220 restaurant operators rated Wholesum #1 in product depth, #2 in fill rate (behind Sysco specialty), and #4 in price (consistent with premium positioning). Three risks flagged: (a) labor cost inflation in fulfillment workforce; (b) fuel/freight inflation pass-through capability; (c) consolidation by Sysco/US Foods specialty arms. Mitigants: automation ROI roadmap in place; 92% of contracts have fuel pass-through escalators; Wholesum's depth in ethnic SKUs is a real moat that mainstream distributors cannot easily replicate.</w:t>
      </w:r>
    </w:p>
    <w:p>
      <w:pPr>
        <w:pStyle w:val="Heading2"/>
      </w:pPr>
      <w:r>
        <w:rPr>
          <w:color w:val="1F2A44"/>
        </w:rPr>
        <w:t>6.3  IT diligence (FTI)</w:t>
      </w:r>
    </w:p>
    <w:p>
      <w:r>
        <w:t>FTI's IT assessment confirms the urgency of ERP modernization. Current system (custom Visual Basic, last major upgrade 2007) cannot support: (a) advanced demand forecasting / inventory optimization; (b) integrated digital ordering; (c) multi-DC SKU rationalization. Recommended stack: NetSuite ERP + Manhattan WMS + Salesforce CPQ + custom digital ordering portal. Total investment $14M over 18 months. Migration risk material but manageable with parallel-run.</w:t>
      </w:r>
    </w:p>
    <w:p>
      <w:pPr>
        <w:pStyle w:val="Heading2"/>
      </w:pPr>
      <w:r>
        <w:rPr>
          <w:color w:val="1F2A44"/>
        </w:rPr>
        <w:t>6.4  Operational diligence</w:t>
      </w:r>
    </w:p>
    <w:p>
      <w:r>
        <w:t>Wholesum's fill rate (95.4%) is below scaled peers (97–98%) — primarily a function of legacy ERP capacity constraints. Inventory turns 6.8x (vs. peer median 8.2x), implying ~$60M of working capital opportunity. Warehouse productivity (lines/labor hour) is 22% below benchmarks; with WMS implementation we expect 30–40% productivity gains.</w:t>
      </w:r>
    </w:p>
    <w:p>
      <w:pPr>
        <w:pStyle w:val="Heading1"/>
      </w:pPr>
      <w:r>
        <w:rPr>
          <w:color w:val="1F2A44"/>
        </w:rPr>
        <w:t>7. Value creation plan</w:t>
      </w:r>
    </w:p>
    <w:tbl>
      <w:tblPr>
        <w:tblStyle w:val="LightGrid-Accent1"/>
        <w:tblW w:type="auto" w:w="0"/>
        <w:tblLook w:firstColumn="1" w:firstRow="1" w:lastColumn="0" w:lastRow="0" w:noHBand="0" w:noVBand="1" w:val="04A0"/>
      </w:tblPr>
      <w:tblGrid>
        <w:gridCol w:w="3120"/>
        <w:gridCol w:w="3120"/>
        <w:gridCol w:w="3120"/>
      </w:tblGrid>
      <w:tr>
        <w:tc>
          <w:tcPr>
            <w:tcW w:type="dxa" w:w="2592"/>
            <w:shd w:val="clear" w:color="auto" w:fill="1F2A44"/>
            <w:vAlign w:val="center"/>
          </w:tcPr>
          <w:p>
            <w:r/>
            <w:r>
              <w:rPr>
                <w:b/>
                <w:color w:val="FFFFFF"/>
                <w:sz w:val="20"/>
              </w:rPr>
              <w:t>Lever</w:t>
            </w:r>
          </w:p>
        </w:tc>
        <w:tc>
          <w:tcPr>
            <w:tcW w:type="dxa" w:w="5760"/>
            <w:shd w:val="clear" w:color="auto" w:fill="1F2A44"/>
            <w:vAlign w:val="center"/>
          </w:tcPr>
          <w:p>
            <w:r/>
            <w:r>
              <w:rPr>
                <w:b/>
                <w:color w:val="FFFFFF"/>
                <w:sz w:val="20"/>
              </w:rPr>
              <w:t>Initiative</w:t>
            </w:r>
          </w:p>
        </w:tc>
        <w:tc>
          <w:tcPr>
            <w:tcW w:type="dxa" w:w="2304"/>
            <w:shd w:val="clear" w:color="auto" w:fill="1F2A44"/>
            <w:vAlign w:val="center"/>
          </w:tcPr>
          <w:p>
            <w:r/>
            <w:r>
              <w:rPr>
                <w:b/>
                <w:color w:val="FFFFFF"/>
                <w:sz w:val="20"/>
              </w:rPr>
              <w:t>FY22 → FY26 EBITDA contribution</w:t>
            </w:r>
          </w:p>
        </w:tc>
      </w:tr>
      <w:tr>
        <w:tc>
          <w:tcPr>
            <w:tcW w:type="dxa" w:w="2592"/>
            <w:vAlign w:val="center"/>
          </w:tcPr>
          <w:p>
            <w:r/>
            <w:r>
              <w:rPr>
                <w:sz w:val="20"/>
              </w:rPr>
              <w:t>Organic growth (segment + share)</w:t>
            </w:r>
          </w:p>
        </w:tc>
        <w:tc>
          <w:tcPr>
            <w:tcW w:type="dxa" w:w="5760"/>
            <w:vAlign w:val="center"/>
          </w:tcPr>
          <w:p>
            <w:r/>
            <w:r>
              <w:rPr>
                <w:sz w:val="20"/>
              </w:rPr>
              <w:t>Continued share gain in fastest-growing ethnic segments (Asian, Indian, Caribbean); pricing actions; new geos via existing DC footprint</w:t>
            </w:r>
          </w:p>
        </w:tc>
        <w:tc>
          <w:tcPr>
            <w:tcW w:type="dxa" w:w="2304"/>
            <w:vAlign w:val="center"/>
          </w:tcPr>
          <w:p>
            <w:r/>
            <w:r>
              <w:rPr>
                <w:sz w:val="20"/>
              </w:rPr>
              <w:t>+$28M</w:t>
            </w:r>
          </w:p>
        </w:tc>
      </w:tr>
      <w:tr>
        <w:tc>
          <w:tcPr>
            <w:tcW w:type="dxa" w:w="2592"/>
            <w:vAlign w:val="center"/>
          </w:tcPr>
          <w:p>
            <w:r/>
            <w:r>
              <w:rPr>
                <w:sz w:val="20"/>
              </w:rPr>
              <w:t>Tech modernization (NetSuite + WMS)</w:t>
            </w:r>
          </w:p>
        </w:tc>
        <w:tc>
          <w:tcPr>
            <w:tcW w:type="dxa" w:w="5760"/>
            <w:vAlign w:val="center"/>
          </w:tcPr>
          <w:p>
            <w:r/>
            <w:r>
              <w:rPr>
                <w:sz w:val="20"/>
              </w:rPr>
              <w:t>ERP migration over 18 months; warehouse productivity, fill rate improvement, working capital release ($40M+ over 3 years)</w:t>
            </w:r>
          </w:p>
        </w:tc>
        <w:tc>
          <w:tcPr>
            <w:tcW w:type="dxa" w:w="2304"/>
            <w:vAlign w:val="center"/>
          </w:tcPr>
          <w:p>
            <w:r/>
            <w:r>
              <w:rPr>
                <w:sz w:val="20"/>
              </w:rPr>
              <w:t>+$10M</w:t>
            </w:r>
          </w:p>
        </w:tc>
      </w:tr>
      <w:tr>
        <w:tc>
          <w:tcPr>
            <w:tcW w:type="dxa" w:w="2592"/>
            <w:vAlign w:val="center"/>
          </w:tcPr>
          <w:p>
            <w:r/>
            <w:r>
              <w:rPr>
                <w:sz w:val="20"/>
              </w:rPr>
              <w:t>Private label expansion (8% → 18%)</w:t>
            </w:r>
          </w:p>
        </w:tc>
        <w:tc>
          <w:tcPr>
            <w:tcW w:type="dxa" w:w="5760"/>
            <w:vAlign w:val="center"/>
          </w:tcPr>
          <w:p>
            <w:r/>
            <w:r>
              <w:rPr>
                <w:sz w:val="20"/>
              </w:rPr>
              <w:t>Build private-label sourcing across top-5 SKU families per ethnic line; 12-month integration of dedicated R&amp;D and packaging design team</w:t>
            </w:r>
          </w:p>
        </w:tc>
        <w:tc>
          <w:tcPr>
            <w:tcW w:type="dxa" w:w="2304"/>
            <w:vAlign w:val="center"/>
          </w:tcPr>
          <w:p>
            <w:r/>
            <w:r>
              <w:rPr>
                <w:sz w:val="20"/>
              </w:rPr>
              <w:t>+$8M</w:t>
            </w:r>
          </w:p>
        </w:tc>
      </w:tr>
      <w:tr>
        <w:tc>
          <w:tcPr>
            <w:tcW w:type="dxa" w:w="2592"/>
            <w:vAlign w:val="center"/>
          </w:tcPr>
          <w:p>
            <w:r/>
            <w:r>
              <w:rPr>
                <w:sz w:val="20"/>
              </w:rPr>
              <w:t>Bolt-on M&amp;A (target: 3 closed)</w:t>
            </w:r>
          </w:p>
        </w:tc>
        <w:tc>
          <w:tcPr>
            <w:tcW w:type="dxa" w:w="5760"/>
            <w:vAlign w:val="center"/>
          </w:tcPr>
          <w:p>
            <w:r/>
            <w:r>
              <w:rPr>
                <w:sz w:val="20"/>
              </w:rPr>
              <w:t>Adjacent ethnic categories (Indian, Middle Eastern) and underserved geographies (Midwest, Mountain West); typical 5.5x pre-synergy / 4.0x post-synergy</w:t>
            </w:r>
          </w:p>
        </w:tc>
        <w:tc>
          <w:tcPr>
            <w:tcW w:type="dxa" w:w="2304"/>
            <w:vAlign w:val="center"/>
          </w:tcPr>
          <w:p>
            <w:r/>
            <w:r>
              <w:rPr>
                <w:sz w:val="20"/>
              </w:rPr>
              <w:t>+$6M</w:t>
            </w:r>
          </w:p>
        </w:tc>
      </w:tr>
      <w:tr>
        <w:tc>
          <w:tcPr>
            <w:tcW w:type="dxa" w:w="2592"/>
            <w:vAlign w:val="center"/>
          </w:tcPr>
          <w:p>
            <w:r/>
            <w:r>
              <w:rPr>
                <w:sz w:val="20"/>
              </w:rPr>
              <w:t>SG&amp;A leverage / supplier consolidation</w:t>
            </w:r>
          </w:p>
        </w:tc>
        <w:tc>
          <w:tcPr>
            <w:tcW w:type="dxa" w:w="5760"/>
            <w:vAlign w:val="center"/>
          </w:tcPr>
          <w:p>
            <w:r/>
            <w:r>
              <w:rPr>
                <w:sz w:val="20"/>
              </w:rPr>
              <w:t>Consolidated procurement org; supplier rebate optimization; centralized HR/finance</w:t>
            </w:r>
          </w:p>
        </w:tc>
        <w:tc>
          <w:tcPr>
            <w:tcW w:type="dxa" w:w="2304"/>
            <w:vAlign w:val="center"/>
          </w:tcPr>
          <w:p>
            <w:r/>
            <w:r>
              <w:rPr>
                <w:sz w:val="20"/>
              </w:rPr>
              <w:t>+$3M</w:t>
            </w:r>
          </w:p>
        </w:tc>
      </w:tr>
      <w:tr>
        <w:tc>
          <w:tcPr>
            <w:tcW w:type="dxa" w:w="2592"/>
            <w:vAlign w:val="center"/>
          </w:tcPr>
          <w:p>
            <w:r/>
            <w:r>
              <w:rPr>
                <w:sz w:val="20"/>
              </w:rPr>
              <w:t>TOTAL</w:t>
            </w:r>
          </w:p>
        </w:tc>
        <w:tc>
          <w:tcPr>
            <w:tcW w:type="dxa" w:w="5760"/>
            <w:vAlign w:val="center"/>
          </w:tcPr>
          <w:p>
            <w:r/>
            <w:r>
              <w:rPr>
                <w:sz w:val="20"/>
              </w:rPr>
            </w:r>
          </w:p>
        </w:tc>
        <w:tc>
          <w:tcPr>
            <w:tcW w:type="dxa" w:w="2304"/>
            <w:vAlign w:val="center"/>
          </w:tcPr>
          <w:p>
            <w:r/>
            <w:r>
              <w:rPr>
                <w:sz w:val="20"/>
              </w:rPr>
              <w:t>+$55M (vs. entry EBITDA of $72M = ~1.76x)</w:t>
            </w:r>
          </w:p>
        </w:tc>
      </w:tr>
    </w:tbl>
    <w:p>
      <w:pPr>
        <w:pStyle w:val="Heading1"/>
      </w:pPr>
      <w:r>
        <w:rPr>
          <w:color w:val="1F2A44"/>
        </w:rPr>
        <w:t>8. Financing &amp; returns</w:t>
      </w:r>
    </w:p>
    <w:p>
      <w:pPr>
        <w:pStyle w:val="Heading3"/>
      </w:pPr>
      <w:r>
        <w:rPr>
          <w:color w:val="1F2A44"/>
        </w:rPr>
        <w:t>Sources &amp; uses ($M)</w:t>
      </w:r>
    </w:p>
    <w:tbl>
      <w:tblPr>
        <w:tblStyle w:val="LightGrid-Accent1"/>
        <w:tblW w:type="auto" w:w="0"/>
        <w:tblLook w:firstColumn="1" w:firstRow="1" w:lastColumn="0" w:lastRow="0" w:noHBand="0" w:noVBand="1" w:val="04A0"/>
      </w:tblPr>
      <w:tblGrid>
        <w:gridCol w:w="2340"/>
        <w:gridCol w:w="2340"/>
        <w:gridCol w:w="2340"/>
        <w:gridCol w:w="2340"/>
      </w:tblGrid>
      <w:tr>
        <w:tc>
          <w:tcPr>
            <w:tcW w:type="dxa" w:w="3744"/>
            <w:shd w:val="clear" w:color="auto" w:fill="1F2A44"/>
            <w:vAlign w:val="center"/>
          </w:tcPr>
          <w:p>
            <w:r/>
            <w:r>
              <w:rPr>
                <w:b/>
                <w:color w:val="FFFFFF"/>
                <w:sz w:val="20"/>
              </w:rPr>
              <w:t>Sources</w:t>
            </w:r>
          </w:p>
        </w:tc>
        <w:tc>
          <w:tcPr>
            <w:tcW w:type="dxa" w:w="1296"/>
            <w:shd w:val="clear" w:color="auto" w:fill="1F2A44"/>
            <w:vAlign w:val="center"/>
          </w:tcPr>
          <w:p>
            <w:r/>
            <w:r>
              <w:rPr>
                <w:b/>
                <w:color w:val="FFFFFF"/>
                <w:sz w:val="20"/>
              </w:rPr>
              <w:t>$M</w:t>
            </w:r>
          </w:p>
        </w:tc>
        <w:tc>
          <w:tcPr>
            <w:tcW w:type="dxa" w:w="3744"/>
            <w:shd w:val="clear" w:color="auto" w:fill="1F2A44"/>
            <w:vAlign w:val="center"/>
          </w:tcPr>
          <w:p>
            <w:r/>
            <w:r>
              <w:rPr>
                <w:b/>
                <w:color w:val="FFFFFF"/>
                <w:sz w:val="20"/>
              </w:rPr>
              <w:t>Uses</w:t>
            </w:r>
          </w:p>
        </w:tc>
        <w:tc>
          <w:tcPr>
            <w:tcW w:type="dxa" w:w="1296"/>
            <w:shd w:val="clear" w:color="auto" w:fill="1F2A44"/>
            <w:vAlign w:val="center"/>
          </w:tcPr>
          <w:p>
            <w:r/>
            <w:r>
              <w:rPr>
                <w:b/>
                <w:color w:val="FFFFFF"/>
                <w:sz w:val="20"/>
              </w:rPr>
              <w:t>$M</w:t>
            </w:r>
          </w:p>
        </w:tc>
      </w:tr>
      <w:tr>
        <w:tc>
          <w:tcPr>
            <w:tcW w:type="dxa" w:w="3744"/>
            <w:vAlign w:val="center"/>
          </w:tcPr>
          <w:p>
            <w:r/>
            <w:r>
              <w:rPr>
                <w:sz w:val="20"/>
              </w:rPr>
              <w:t>Senior unitranche (Antares + Twin Brook)</w:t>
            </w:r>
          </w:p>
        </w:tc>
        <w:tc>
          <w:tcPr>
            <w:tcW w:type="dxa" w:w="1296"/>
            <w:vAlign w:val="center"/>
          </w:tcPr>
          <w:p>
            <w:r/>
            <w:r>
              <w:rPr>
                <w:sz w:val="20"/>
              </w:rPr>
              <w:t>430.0</w:t>
            </w:r>
          </w:p>
        </w:tc>
        <w:tc>
          <w:tcPr>
            <w:tcW w:type="dxa" w:w="3744"/>
            <w:vAlign w:val="center"/>
          </w:tcPr>
          <w:p>
            <w:r/>
            <w:r>
              <w:rPr>
                <w:sz w:val="20"/>
              </w:rPr>
              <w:t>Purchase price (incl. WC adj.)</w:t>
            </w:r>
          </w:p>
        </w:tc>
        <w:tc>
          <w:tcPr>
            <w:tcW w:type="dxa" w:w="1296"/>
            <w:vAlign w:val="center"/>
          </w:tcPr>
          <w:p>
            <w:r/>
            <w:r>
              <w:rPr>
                <w:sz w:val="20"/>
              </w:rPr>
              <w:t>710.0</w:t>
            </w:r>
          </w:p>
        </w:tc>
      </w:tr>
      <w:tr>
        <w:tc>
          <w:tcPr>
            <w:tcW w:type="dxa" w:w="3744"/>
            <w:vAlign w:val="center"/>
          </w:tcPr>
          <w:p>
            <w:r/>
            <w:r>
              <w:rPr>
                <w:sz w:val="20"/>
              </w:rPr>
              <w:t>Atlas Crossing equity (Fund III)</w:t>
            </w:r>
          </w:p>
        </w:tc>
        <w:tc>
          <w:tcPr>
            <w:tcW w:type="dxa" w:w="1296"/>
            <w:vAlign w:val="center"/>
          </w:tcPr>
          <w:p>
            <w:r/>
            <w:r>
              <w:rPr>
                <w:sz w:val="20"/>
              </w:rPr>
              <w:t>155.0</w:t>
            </w:r>
          </w:p>
        </w:tc>
        <w:tc>
          <w:tcPr>
            <w:tcW w:type="dxa" w:w="3744"/>
            <w:vAlign w:val="center"/>
          </w:tcPr>
          <w:p>
            <w:r/>
            <w:r>
              <w:rPr>
                <w:sz w:val="20"/>
              </w:rPr>
              <w:t>Fees &amp; expenses</w:t>
            </w:r>
          </w:p>
        </w:tc>
        <w:tc>
          <w:tcPr>
            <w:tcW w:type="dxa" w:w="1296"/>
            <w:vAlign w:val="center"/>
          </w:tcPr>
          <w:p>
            <w:r/>
            <w:r>
              <w:rPr>
                <w:sz w:val="20"/>
              </w:rPr>
              <w:t>21.5</w:t>
            </w:r>
          </w:p>
        </w:tc>
      </w:tr>
      <w:tr>
        <w:tc>
          <w:tcPr>
            <w:tcW w:type="dxa" w:w="3744"/>
            <w:vAlign w:val="center"/>
          </w:tcPr>
          <w:p>
            <w:r/>
            <w:r>
              <w:rPr>
                <w:sz w:val="20"/>
              </w:rPr>
              <w:t>Family rollover (Gonzales family)</w:t>
            </w:r>
          </w:p>
        </w:tc>
        <w:tc>
          <w:tcPr>
            <w:tcW w:type="dxa" w:w="1296"/>
            <w:vAlign w:val="center"/>
          </w:tcPr>
          <w:p>
            <w:r/>
            <w:r>
              <w:rPr>
                <w:sz w:val="20"/>
              </w:rPr>
              <w:t>125.0</w:t>
            </w:r>
          </w:p>
        </w:tc>
        <w:tc>
          <w:tcPr>
            <w:tcW w:type="dxa" w:w="3744"/>
            <w:vAlign w:val="center"/>
          </w:tcPr>
          <w:p>
            <w:r/>
            <w:r>
              <w:rPr>
                <w:sz w:val="20"/>
              </w:rPr>
              <w:t>ERP / WMS capex (year-1 portion)</w:t>
            </w:r>
          </w:p>
        </w:tc>
        <w:tc>
          <w:tcPr>
            <w:tcW w:type="dxa" w:w="1296"/>
            <w:vAlign w:val="center"/>
          </w:tcPr>
          <w:p>
            <w:r/>
            <w:r>
              <w:rPr>
                <w:sz w:val="20"/>
              </w:rPr>
              <w:t>5.5</w:t>
            </w:r>
          </w:p>
        </w:tc>
      </w:tr>
      <w:tr>
        <w:tc>
          <w:tcPr>
            <w:tcW w:type="dxa" w:w="3744"/>
            <w:vAlign w:val="center"/>
          </w:tcPr>
          <w:p>
            <w:r/>
            <w:r>
              <w:rPr>
                <w:sz w:val="20"/>
              </w:rPr>
              <w:t>Cash on balance sheet</w:t>
            </w:r>
          </w:p>
        </w:tc>
        <w:tc>
          <w:tcPr>
            <w:tcW w:type="dxa" w:w="1296"/>
            <w:vAlign w:val="center"/>
          </w:tcPr>
          <w:p>
            <w:r/>
            <w:r>
              <w:rPr>
                <w:sz w:val="20"/>
              </w:rPr>
              <w:t>27.0</w:t>
            </w:r>
          </w:p>
        </w:tc>
        <w:tc>
          <w:tcPr>
            <w:tcW w:type="dxa" w:w="3744"/>
            <w:vAlign w:val="center"/>
          </w:tcPr>
          <w:p>
            <w:r/>
            <w:r>
              <w:rPr>
                <w:sz w:val="20"/>
              </w:rPr>
            </w:r>
          </w:p>
        </w:tc>
        <w:tc>
          <w:tcPr>
            <w:tcW w:type="dxa" w:w="1296"/>
            <w:vAlign w:val="center"/>
          </w:tcPr>
          <w:p>
            <w:r/>
            <w:r>
              <w:rPr>
                <w:sz w:val="20"/>
              </w:rPr>
            </w:r>
          </w:p>
        </w:tc>
      </w:tr>
      <w:tr>
        <w:tc>
          <w:tcPr>
            <w:tcW w:type="dxa" w:w="3744"/>
            <w:vAlign w:val="center"/>
          </w:tcPr>
          <w:p>
            <w:r/>
            <w:r>
              <w:rPr>
                <w:sz w:val="20"/>
              </w:rPr>
              <w:t>Total sources</w:t>
            </w:r>
          </w:p>
        </w:tc>
        <w:tc>
          <w:tcPr>
            <w:tcW w:type="dxa" w:w="1296"/>
            <w:vAlign w:val="center"/>
          </w:tcPr>
          <w:p>
            <w:r/>
            <w:r>
              <w:rPr>
                <w:sz w:val="20"/>
              </w:rPr>
              <w:t>737.0</w:t>
            </w:r>
          </w:p>
        </w:tc>
        <w:tc>
          <w:tcPr>
            <w:tcW w:type="dxa" w:w="3744"/>
            <w:vAlign w:val="center"/>
          </w:tcPr>
          <w:p>
            <w:r/>
            <w:r>
              <w:rPr>
                <w:sz w:val="20"/>
              </w:rPr>
              <w:t>Total uses</w:t>
            </w:r>
          </w:p>
        </w:tc>
        <w:tc>
          <w:tcPr>
            <w:tcW w:type="dxa" w:w="1296"/>
            <w:vAlign w:val="center"/>
          </w:tcPr>
          <w:p>
            <w:r/>
            <w:r>
              <w:rPr>
                <w:sz w:val="20"/>
              </w:rPr>
              <w:t>737.0</w:t>
            </w:r>
          </w:p>
        </w:tc>
      </w:tr>
    </w:tbl>
    <w:p>
      <w:pPr>
        <w:pStyle w:val="Heading3"/>
      </w:pPr>
      <w:r>
        <w:rPr>
          <w:color w:val="1F2A44"/>
        </w:rPr>
        <w:t>Returns sensitivity (4-year hold target)</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584"/>
            <w:shd w:val="clear" w:color="auto" w:fill="1F2A44"/>
            <w:vAlign w:val="center"/>
          </w:tcPr>
          <w:p>
            <w:r/>
            <w:r>
              <w:rPr>
                <w:b/>
                <w:color w:val="FFFFFF"/>
                <w:sz w:val="20"/>
              </w:rPr>
              <w:t>Scenario</w:t>
            </w:r>
          </w:p>
        </w:tc>
        <w:tc>
          <w:tcPr>
            <w:tcW w:type="dxa" w:w="1872"/>
            <w:shd w:val="clear" w:color="auto" w:fill="1F2A44"/>
            <w:vAlign w:val="center"/>
          </w:tcPr>
          <w:p>
            <w:r/>
            <w:r>
              <w:rPr>
                <w:b/>
                <w:color w:val="FFFFFF"/>
                <w:sz w:val="20"/>
              </w:rPr>
              <w:t>Exit EBITDA ($M)</w:t>
            </w:r>
          </w:p>
        </w:tc>
        <w:tc>
          <w:tcPr>
            <w:tcW w:type="dxa" w:w="1728"/>
            <w:shd w:val="clear" w:color="auto" w:fill="1F2A44"/>
            <w:vAlign w:val="center"/>
          </w:tcPr>
          <w:p>
            <w:r/>
            <w:r>
              <w:rPr>
                <w:b/>
                <w:color w:val="FFFFFF"/>
                <w:sz w:val="20"/>
              </w:rPr>
              <w:t>Exit multiple</w:t>
            </w:r>
          </w:p>
        </w:tc>
        <w:tc>
          <w:tcPr>
            <w:tcW w:type="dxa" w:w="1728"/>
            <w:shd w:val="clear" w:color="auto" w:fill="1F2A44"/>
            <w:vAlign w:val="center"/>
          </w:tcPr>
          <w:p>
            <w:r/>
            <w:r>
              <w:rPr>
                <w:b/>
                <w:color w:val="FFFFFF"/>
                <w:sz w:val="20"/>
              </w:rPr>
              <w:t>Exit EV ($M)</w:t>
            </w:r>
          </w:p>
        </w:tc>
        <w:tc>
          <w:tcPr>
            <w:tcW w:type="dxa" w:w="2304"/>
            <w:shd w:val="clear" w:color="auto" w:fill="1F2A44"/>
            <w:vAlign w:val="center"/>
          </w:tcPr>
          <w:p>
            <w:r/>
            <w:r>
              <w:rPr>
                <w:b/>
                <w:color w:val="FFFFFF"/>
                <w:sz w:val="20"/>
              </w:rPr>
              <w:t>ACP equity proceeds ($M)</w:t>
            </w:r>
          </w:p>
        </w:tc>
        <w:tc>
          <w:tcPr>
            <w:tcW w:type="dxa" w:w="1008"/>
            <w:shd w:val="clear" w:color="auto" w:fill="1F2A44"/>
            <w:vAlign w:val="center"/>
          </w:tcPr>
          <w:p>
            <w:r/>
            <w:r>
              <w:rPr>
                <w:b/>
                <w:color w:val="FFFFFF"/>
                <w:sz w:val="20"/>
              </w:rPr>
              <w:t>MOIC</w:t>
            </w:r>
          </w:p>
        </w:tc>
        <w:tc>
          <w:tcPr>
            <w:tcW w:type="dxa" w:w="1296"/>
            <w:shd w:val="clear" w:color="auto" w:fill="1F2A44"/>
            <w:vAlign w:val="center"/>
          </w:tcPr>
          <w:p>
            <w:r/>
            <w:r>
              <w:rPr>
                <w:b/>
                <w:color w:val="FFFFFF"/>
                <w:sz w:val="20"/>
              </w:rPr>
              <w:t>Gross IRR</w:t>
            </w:r>
          </w:p>
        </w:tc>
      </w:tr>
      <w:tr>
        <w:tc>
          <w:tcPr>
            <w:tcW w:type="dxa" w:w="1584"/>
            <w:vAlign w:val="center"/>
          </w:tcPr>
          <w:p>
            <w:r/>
            <w:r>
              <w:rPr>
                <w:sz w:val="20"/>
              </w:rPr>
              <w:t>Downside</w:t>
            </w:r>
          </w:p>
        </w:tc>
        <w:tc>
          <w:tcPr>
            <w:tcW w:type="dxa" w:w="1872"/>
            <w:vAlign w:val="center"/>
          </w:tcPr>
          <w:p>
            <w:r/>
            <w:r>
              <w:rPr>
                <w:sz w:val="20"/>
              </w:rPr>
              <w:t>$92</w:t>
            </w:r>
          </w:p>
        </w:tc>
        <w:tc>
          <w:tcPr>
            <w:tcW w:type="dxa" w:w="1728"/>
            <w:vAlign w:val="center"/>
          </w:tcPr>
          <w:p>
            <w:r/>
            <w:r>
              <w:rPr>
                <w:sz w:val="20"/>
              </w:rPr>
              <w:t>8.5x</w:t>
            </w:r>
          </w:p>
        </w:tc>
        <w:tc>
          <w:tcPr>
            <w:tcW w:type="dxa" w:w="1728"/>
            <w:vAlign w:val="center"/>
          </w:tcPr>
          <w:p>
            <w:r/>
            <w:r>
              <w:rPr>
                <w:sz w:val="20"/>
              </w:rPr>
              <w:t>$782</w:t>
            </w:r>
          </w:p>
        </w:tc>
        <w:tc>
          <w:tcPr>
            <w:tcW w:type="dxa" w:w="2304"/>
            <w:vAlign w:val="center"/>
          </w:tcPr>
          <w:p>
            <w:r/>
            <w:r>
              <w:rPr>
                <w:sz w:val="20"/>
              </w:rPr>
              <w:t>$258</w:t>
            </w:r>
          </w:p>
        </w:tc>
        <w:tc>
          <w:tcPr>
            <w:tcW w:type="dxa" w:w="1008"/>
            <w:vAlign w:val="center"/>
          </w:tcPr>
          <w:p>
            <w:r/>
            <w:r>
              <w:rPr>
                <w:sz w:val="20"/>
              </w:rPr>
              <w:t>1.7x</w:t>
            </w:r>
          </w:p>
        </w:tc>
        <w:tc>
          <w:tcPr>
            <w:tcW w:type="dxa" w:w="1296"/>
            <w:vAlign w:val="center"/>
          </w:tcPr>
          <w:p>
            <w:r/>
            <w:r>
              <w:rPr>
                <w:sz w:val="20"/>
              </w:rPr>
              <w:t>13.4%</w:t>
            </w:r>
          </w:p>
        </w:tc>
      </w:tr>
      <w:tr>
        <w:tc>
          <w:tcPr>
            <w:tcW w:type="dxa" w:w="1584"/>
            <w:vAlign w:val="center"/>
          </w:tcPr>
          <w:p>
            <w:r/>
            <w:r>
              <w:rPr>
                <w:sz w:val="20"/>
              </w:rPr>
              <w:t>Base</w:t>
            </w:r>
          </w:p>
        </w:tc>
        <w:tc>
          <w:tcPr>
            <w:tcW w:type="dxa" w:w="1872"/>
            <w:vAlign w:val="center"/>
          </w:tcPr>
          <w:p>
            <w:r/>
            <w:r>
              <w:rPr>
                <w:sz w:val="20"/>
              </w:rPr>
              <w:t>$122</w:t>
            </w:r>
          </w:p>
        </w:tc>
        <w:tc>
          <w:tcPr>
            <w:tcW w:type="dxa" w:w="1728"/>
            <w:vAlign w:val="center"/>
          </w:tcPr>
          <w:p>
            <w:r/>
            <w:r>
              <w:rPr>
                <w:sz w:val="20"/>
              </w:rPr>
              <w:t>10.0x</w:t>
            </w:r>
          </w:p>
        </w:tc>
        <w:tc>
          <w:tcPr>
            <w:tcW w:type="dxa" w:w="1728"/>
            <w:vAlign w:val="center"/>
          </w:tcPr>
          <w:p>
            <w:r/>
            <w:r>
              <w:rPr>
                <w:sz w:val="20"/>
              </w:rPr>
              <w:t>$1,220</w:t>
            </w:r>
          </w:p>
        </w:tc>
        <w:tc>
          <w:tcPr>
            <w:tcW w:type="dxa" w:w="2304"/>
            <w:vAlign w:val="center"/>
          </w:tcPr>
          <w:p>
            <w:r/>
            <w:r>
              <w:rPr>
                <w:sz w:val="20"/>
              </w:rPr>
              <w:t>$521</w:t>
            </w:r>
          </w:p>
        </w:tc>
        <w:tc>
          <w:tcPr>
            <w:tcW w:type="dxa" w:w="1008"/>
            <w:vAlign w:val="center"/>
          </w:tcPr>
          <w:p>
            <w:r/>
            <w:r>
              <w:rPr>
                <w:sz w:val="20"/>
              </w:rPr>
              <w:t>3.4x</w:t>
            </w:r>
          </w:p>
        </w:tc>
        <w:tc>
          <w:tcPr>
            <w:tcW w:type="dxa" w:w="1296"/>
            <w:vAlign w:val="center"/>
          </w:tcPr>
          <w:p>
            <w:r/>
            <w:r>
              <w:rPr>
                <w:sz w:val="20"/>
              </w:rPr>
              <w:t>35.8%</w:t>
            </w:r>
          </w:p>
        </w:tc>
      </w:tr>
      <w:tr>
        <w:tc>
          <w:tcPr>
            <w:tcW w:type="dxa" w:w="1584"/>
            <w:vAlign w:val="center"/>
          </w:tcPr>
          <w:p>
            <w:r/>
            <w:r>
              <w:rPr>
                <w:sz w:val="20"/>
              </w:rPr>
              <w:t>Upside</w:t>
            </w:r>
          </w:p>
        </w:tc>
        <w:tc>
          <w:tcPr>
            <w:tcW w:type="dxa" w:w="1872"/>
            <w:vAlign w:val="center"/>
          </w:tcPr>
          <w:p>
            <w:r/>
            <w:r>
              <w:rPr>
                <w:sz w:val="20"/>
              </w:rPr>
              <w:t>$138</w:t>
            </w:r>
          </w:p>
        </w:tc>
        <w:tc>
          <w:tcPr>
            <w:tcW w:type="dxa" w:w="1728"/>
            <w:vAlign w:val="center"/>
          </w:tcPr>
          <w:p>
            <w:r/>
            <w:r>
              <w:rPr>
                <w:sz w:val="20"/>
              </w:rPr>
              <w:t>11.5x</w:t>
            </w:r>
          </w:p>
        </w:tc>
        <w:tc>
          <w:tcPr>
            <w:tcW w:type="dxa" w:w="1728"/>
            <w:vAlign w:val="center"/>
          </w:tcPr>
          <w:p>
            <w:r/>
            <w:r>
              <w:rPr>
                <w:sz w:val="20"/>
              </w:rPr>
              <w:t>$1,587</w:t>
            </w:r>
          </w:p>
        </w:tc>
        <w:tc>
          <w:tcPr>
            <w:tcW w:type="dxa" w:w="2304"/>
            <w:vAlign w:val="center"/>
          </w:tcPr>
          <w:p>
            <w:r/>
            <w:r>
              <w:rPr>
                <w:sz w:val="20"/>
              </w:rPr>
              <w:t>$733</w:t>
            </w:r>
          </w:p>
        </w:tc>
        <w:tc>
          <w:tcPr>
            <w:tcW w:type="dxa" w:w="1008"/>
            <w:vAlign w:val="center"/>
          </w:tcPr>
          <w:p>
            <w:r/>
            <w:r>
              <w:rPr>
                <w:sz w:val="20"/>
              </w:rPr>
              <w:t>4.7x</w:t>
            </w:r>
          </w:p>
        </w:tc>
        <w:tc>
          <w:tcPr>
            <w:tcW w:type="dxa" w:w="1296"/>
            <w:vAlign w:val="center"/>
          </w:tcPr>
          <w:p>
            <w:r/>
            <w:r>
              <w:rPr>
                <w:sz w:val="20"/>
              </w:rPr>
              <w:t>47.2%</w:t>
            </w:r>
          </w:p>
        </w:tc>
      </w:tr>
    </w:tbl>
    <w:p>
      <w:pPr>
        <w:pStyle w:val="Heading1"/>
      </w:pPr>
      <w:r>
        <w:rPr>
          <w:color w:val="1F2A44"/>
        </w:rPr>
        <w:t>9. Key risks &amp; mitigants</w:t>
      </w:r>
    </w:p>
    <w:tbl>
      <w:tblPr>
        <w:tblStyle w:val="LightGrid-Accent1"/>
        <w:tblW w:type="auto" w:w="0"/>
        <w:tblLook w:firstColumn="1" w:firstRow="1" w:lastColumn="0" w:lastRow="0" w:noHBand="0" w:noVBand="1" w:val="04A0"/>
      </w:tblPr>
      <w:tblGrid>
        <w:gridCol w:w="4680"/>
        <w:gridCol w:w="4680"/>
      </w:tblGrid>
      <w:tr>
        <w:tc>
          <w:tcPr>
            <w:tcW w:type="dxa" w:w="3744"/>
            <w:shd w:val="clear" w:color="auto" w:fill="1F2A44"/>
            <w:vAlign w:val="center"/>
          </w:tcPr>
          <w:p>
            <w:r/>
            <w:r>
              <w:rPr>
                <w:b/>
                <w:color w:val="FFFFFF"/>
                <w:sz w:val="20"/>
              </w:rPr>
              <w:t>Risk</w:t>
            </w:r>
          </w:p>
        </w:tc>
        <w:tc>
          <w:tcPr>
            <w:tcW w:type="dxa" w:w="6336"/>
            <w:shd w:val="clear" w:color="auto" w:fill="1F2A44"/>
            <w:vAlign w:val="center"/>
          </w:tcPr>
          <w:p>
            <w:r/>
            <w:r>
              <w:rPr>
                <w:b/>
                <w:color w:val="FFFFFF"/>
                <w:sz w:val="20"/>
              </w:rPr>
              <w:t>Mitigant</w:t>
            </w:r>
          </w:p>
        </w:tc>
      </w:tr>
      <w:tr>
        <w:tc>
          <w:tcPr>
            <w:tcW w:type="dxa" w:w="3744"/>
            <w:vAlign w:val="center"/>
          </w:tcPr>
          <w:p>
            <w:r/>
            <w:r>
              <w:rPr>
                <w:sz w:val="20"/>
              </w:rPr>
              <w:t>Family transition risk (Roberto → Carmen)</w:t>
            </w:r>
          </w:p>
        </w:tc>
        <w:tc>
          <w:tcPr>
            <w:tcW w:type="dxa" w:w="6336"/>
            <w:vAlign w:val="center"/>
          </w:tcPr>
          <w:p>
            <w:r/>
            <w:r>
              <w:rPr>
                <w:sz w:val="20"/>
              </w:rPr>
              <w:t>Carmen has operated as COO for 6 years; well-respected internally and with key suppliers; we will install a strong CFO and SVP Supply Chain in months 1–4</w:t>
            </w:r>
          </w:p>
        </w:tc>
      </w:tr>
      <w:tr>
        <w:tc>
          <w:tcPr>
            <w:tcW w:type="dxa" w:w="3744"/>
            <w:vAlign w:val="center"/>
          </w:tcPr>
          <w:p>
            <w:r/>
            <w:r>
              <w:rPr>
                <w:sz w:val="20"/>
              </w:rPr>
              <w:t>ERP modernization execution risk</w:t>
            </w:r>
          </w:p>
        </w:tc>
        <w:tc>
          <w:tcPr>
            <w:tcW w:type="dxa" w:w="6336"/>
            <w:vAlign w:val="center"/>
          </w:tcPr>
          <w:p>
            <w:r/>
            <w:r>
              <w:rPr>
                <w:sz w:val="20"/>
              </w:rPr>
              <w:t>Phase migration (DC-by-DC) with parallel-run; PFG and Performance Food Group successfully completed similar migrations; FTI to provide PMO support</w:t>
            </w:r>
          </w:p>
        </w:tc>
      </w:tr>
      <w:tr>
        <w:tc>
          <w:tcPr>
            <w:tcW w:type="dxa" w:w="3744"/>
            <w:vAlign w:val="center"/>
          </w:tcPr>
          <w:p>
            <w:r/>
            <w:r>
              <w:rPr>
                <w:sz w:val="20"/>
              </w:rPr>
              <w:t>Consolidation by Sysco/US Foods specialty arms</w:t>
            </w:r>
          </w:p>
        </w:tc>
        <w:tc>
          <w:tcPr>
            <w:tcW w:type="dxa" w:w="6336"/>
            <w:vAlign w:val="center"/>
          </w:tcPr>
          <w:p>
            <w:r/>
            <w:r>
              <w:rPr>
                <w:sz w:val="20"/>
              </w:rPr>
              <w:t>Wholesum's specialty depth is differentiated; relationships with emerging restaurant operators provide stickiness; ongoing strategic-buyer cultivation as exit alternative</w:t>
            </w:r>
          </w:p>
        </w:tc>
      </w:tr>
      <w:tr>
        <w:tc>
          <w:tcPr>
            <w:tcW w:type="dxa" w:w="3744"/>
            <w:vAlign w:val="center"/>
          </w:tcPr>
          <w:p>
            <w:r/>
            <w:r>
              <w:rPr>
                <w:sz w:val="20"/>
              </w:rPr>
              <w:t>Labor cost inflation and fulfillment labor availability</w:t>
            </w:r>
          </w:p>
        </w:tc>
        <w:tc>
          <w:tcPr>
            <w:tcW w:type="dxa" w:w="6336"/>
            <w:vAlign w:val="center"/>
          </w:tcPr>
          <w:p>
            <w:r/>
            <w:r>
              <w:rPr>
                <w:sz w:val="20"/>
              </w:rPr>
              <w:t>Phased warehouse automation roadmap; market-rate wage adjustments already in plan; geographic diversification across TX/FL/CA/NY metros</w:t>
            </w:r>
          </w:p>
        </w:tc>
      </w:tr>
      <w:tr>
        <w:tc>
          <w:tcPr>
            <w:tcW w:type="dxa" w:w="3744"/>
            <w:vAlign w:val="center"/>
          </w:tcPr>
          <w:p>
            <w:r/>
            <w:r>
              <w:rPr>
                <w:sz w:val="20"/>
              </w:rPr>
              <w:t>Fuel and freight inflation</w:t>
            </w:r>
          </w:p>
        </w:tc>
        <w:tc>
          <w:tcPr>
            <w:tcW w:type="dxa" w:w="6336"/>
            <w:vAlign w:val="center"/>
          </w:tcPr>
          <w:p>
            <w:r/>
            <w:r>
              <w:rPr>
                <w:sz w:val="20"/>
              </w:rPr>
              <w:t>92% of customer contracts have fuel-cost pass-through escalators; remaining 8% being renegotiated at next renewal cycle</w:t>
            </w:r>
          </w:p>
        </w:tc>
      </w:tr>
      <w:tr>
        <w:tc>
          <w:tcPr>
            <w:tcW w:type="dxa" w:w="3744"/>
            <w:vAlign w:val="center"/>
          </w:tcPr>
          <w:p>
            <w:r/>
            <w:r>
              <w:rPr>
                <w:sz w:val="20"/>
              </w:rPr>
              <w:t>Commodity price volatility in protein and produce</w:t>
            </w:r>
          </w:p>
        </w:tc>
        <w:tc>
          <w:tcPr>
            <w:tcW w:type="dxa" w:w="6336"/>
            <w:vAlign w:val="center"/>
          </w:tcPr>
          <w:p>
            <w:r/>
            <w:r>
              <w:rPr>
                <w:sz w:val="20"/>
              </w:rPr>
              <w:t>Limited direct exposure (Wholesum is primarily a value-add distributor of branded and ethnic dry/specialty SKUs, not commodity protein); pass-through structures on 80%+ of contracts</w:t>
            </w:r>
          </w:p>
        </w:tc>
      </w:tr>
    </w:tbl>
    <w:p>
      <w:pPr>
        <w:pStyle w:val="Heading1"/>
      </w:pPr>
      <w:r>
        <w:rPr>
          <w:color w:val="1F2A44"/>
        </w:rPr>
        <w:t>10. Exit considerations</w:t>
      </w:r>
    </w:p>
    <w:p>
      <w:r>
        <w:t>Target hold period is 4 years (exit 2026), with annual re-evaluation starting year 3. Anticipated exit set includes: (a) strategic buyers — Sysco, US Foods, Performance Food Group (all of whom have specialty division expansion mandates); (b) financial sponsors with consumer / distribution depth (L Catterton, Berkshire Partners, KKR Consumer, Bain Capital); (c) IPO as an emerging specialty platform (less likely given specialty-distribution public comp scarcity).</w:t>
      </w:r>
    </w:p>
    <w:p>
      <w:pPr>
        <w:pStyle w:val="Heading1"/>
      </w:pPr>
      <w:r>
        <w:rPr>
          <w:color w:val="1F2A44"/>
        </w:rPr>
        <w:t>11. Recommendation</w:t>
      </w:r>
    </w:p>
    <w:p>
      <w:r>
        <w:t>The Investment Team recommends approval of the Wholesum Foods Distribution transaction at the terms described, subject to satisfactory completion of confirmatory diligence (legal, environmental, supplier-contract assignability), final debt commitment papers from Antares + Twin Brook, and execution of family-rollover and management equity documentation. Target close: August 2022.</w:t>
      </w:r>
    </w:p>
    <w:p/>
    <w:p>
      <w:r>
        <w:rPr>
          <w:b/>
        </w:rPr>
        <w:t>Submitted by the Deal Team:</w:t>
      </w:r>
    </w:p>
    <w:p>
      <w:r>
        <w:t>Michael Tang — Managing Director</w:t>
      </w:r>
    </w:p>
    <w:p>
      <w:r>
        <w:t>Deborah Okafor — Principal</w:t>
      </w:r>
    </w:p>
    <w:p>
      <w:r>
        <w:t>Jamie Mendez — Vice President</w:t>
      </w:r>
    </w:p>
    <w:p>
      <w:r>
        <w:t>Nina Patel — Associate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