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A8124">
      <w:pPr>
        <w:pStyle w:val="2"/>
      </w:pPr>
      <w:r>
        <w:rPr>
          <w:rFonts w:hint="eastAsia"/>
        </w:rPr>
        <w:t>一、</w:t>
      </w:r>
      <w:r>
        <w:t>基本情况</w:t>
      </w:r>
    </w:p>
    <w:p w14:paraId="656E605E">
      <w:pPr>
        <w:pStyle w:val="3"/>
        <w:rPr>
          <w:rFonts w:ascii="宋体" w:hAnsi="宋体" w:cs="宋体"/>
          <w:kern w:val="0"/>
          <w:szCs w:val="24"/>
        </w:rPr>
      </w:pPr>
      <w:r>
        <w:t>所属批次：</w:t>
      </w:r>
      <w:r>
        <w:rPr>
          <w:rFonts w:ascii="宋体" w:hAnsi="宋体" w:cs="宋体"/>
          <w:kern w:val="0"/>
          <w:szCs w:val="24"/>
        </w:rPr>
        <w:t>20</w:t>
      </w:r>
      <w:r>
        <w:rPr>
          <w:rFonts w:hint="eastAsia" w:ascii="宋体" w:hAnsi="宋体" w:cs="宋体"/>
          <w:kern w:val="0"/>
          <w:szCs w:val="24"/>
          <w:lang w:val="en-US" w:eastAsia="zh-CN"/>
        </w:rPr>
        <w:t>25</w:t>
      </w:r>
      <w:r>
        <w:rPr>
          <w:rFonts w:ascii="宋体" w:hAnsi="宋体" w:cs="宋体"/>
          <w:kern w:val="0"/>
          <w:szCs w:val="24"/>
        </w:rPr>
        <w:t>校级项目</w:t>
      </w:r>
    </w:p>
    <w:p w14:paraId="611B7E6D">
      <w:pPr>
        <w:pStyle w:val="3"/>
        <w:rPr>
          <w:rFonts w:ascii="宋体" w:hAnsi="宋体" w:cs="宋体"/>
          <w:kern w:val="0"/>
          <w:szCs w:val="24"/>
        </w:rPr>
      </w:pPr>
      <w:r>
        <w:t>项目名称：</w:t>
      </w:r>
      <w:r>
        <w:rPr>
          <w:rFonts w:hint="eastAsia" w:ascii="宋体" w:hAnsi="宋体" w:cs="宋体"/>
          <w:kern w:val="0"/>
          <w:szCs w:val="24"/>
        </w:rPr>
        <w:t>【信息】面向海面目标的合成孔径雷达智能成像</w:t>
      </w:r>
    </w:p>
    <w:p w14:paraId="72E6577B">
      <w:pPr>
        <w:pStyle w:val="3"/>
        <w:rPr>
          <w:rFonts w:ascii="宋体" w:hAnsi="宋体" w:cs="宋体"/>
          <w:kern w:val="0"/>
          <w:szCs w:val="24"/>
        </w:rPr>
      </w:pPr>
      <w:r>
        <w:t>项目类型：创新训练项目</w:t>
      </w:r>
    </w:p>
    <w:p w14:paraId="5AE34DF2">
      <w:pPr>
        <w:pStyle w:val="3"/>
        <w:rPr>
          <w:rFonts w:ascii="宋体" w:hAnsi="宋体" w:cs="宋体"/>
          <w:kern w:val="0"/>
          <w:szCs w:val="24"/>
        </w:rPr>
      </w:pPr>
      <w:r>
        <w:t>所属一级学科：工学</w:t>
      </w:r>
    </w:p>
    <w:p w14:paraId="219E960A">
      <w:pPr>
        <w:pStyle w:val="3"/>
      </w:pPr>
      <w:r>
        <w:t>所属二级学科：</w:t>
      </w:r>
      <w:r>
        <w:rPr>
          <w:rFonts w:hint="eastAsia"/>
          <w:lang w:val="en-US" w:eastAsia="zh-CN"/>
        </w:rPr>
        <w:t>电子信息</w:t>
      </w:r>
      <w:r>
        <w:t>类</w:t>
      </w:r>
    </w:p>
    <w:p w14:paraId="1D9707CD">
      <w:pPr>
        <w:pStyle w:val="3"/>
        <w:rPr>
          <w:rFonts w:ascii="宋体" w:hAnsi="宋体" w:cs="宋体"/>
          <w:kern w:val="0"/>
          <w:szCs w:val="24"/>
        </w:rPr>
      </w:pPr>
      <w:r>
        <w:t>项目来源名称：</w:t>
      </w:r>
      <w:r>
        <w:rPr>
          <w:rFonts w:hint="eastAsia"/>
        </w:rPr>
        <w:t>学生来源于教师科研项目选题</w:t>
      </w:r>
    </w:p>
    <w:p w14:paraId="70511E4D">
      <w:pPr>
        <w:pStyle w:val="3"/>
        <w:rPr>
          <w:rFonts w:hint="default" w:ascii="宋体" w:hAnsi="宋体" w:eastAsia="宋体" w:cs="宋体"/>
          <w:kern w:val="0"/>
          <w:szCs w:val="24"/>
          <w:lang w:val="en-US" w:eastAsia="zh-CN"/>
        </w:rPr>
      </w:pPr>
      <w:r>
        <w:t>项目归属学院：</w:t>
      </w:r>
      <w:r>
        <w:rPr>
          <w:rFonts w:hint="eastAsia"/>
          <w:lang w:val="en-US" w:eastAsia="zh-CN"/>
        </w:rPr>
        <w:t>信息与电子学院</w:t>
      </w:r>
    </w:p>
    <w:p w14:paraId="4A62AE77">
      <w:pPr>
        <w:pStyle w:val="3"/>
        <w:rPr>
          <w:rFonts w:ascii="宋体" w:hAnsi="宋体" w:cs="宋体"/>
          <w:kern w:val="0"/>
          <w:szCs w:val="24"/>
        </w:rPr>
      </w:pPr>
      <w:r>
        <w:t>项目期限：一年期</w:t>
      </w:r>
    </w:p>
    <w:p w14:paraId="600764D3">
      <w:pPr>
        <w:pStyle w:val="3"/>
        <w:rPr>
          <w:rFonts w:ascii="宋体" w:hAnsi="宋体" w:cs="宋体"/>
          <w:kern w:val="0"/>
          <w:szCs w:val="24"/>
        </w:rPr>
      </w:pPr>
      <w:r>
        <w:t>拟申报项目级别：校级</w:t>
      </w:r>
    </w:p>
    <w:p w14:paraId="457C0019">
      <w:pPr>
        <w:pStyle w:val="3"/>
        <w:rPr>
          <w:rFonts w:ascii="宋体" w:hAnsi="宋体" w:cs="宋体"/>
          <w:kern w:val="0"/>
          <w:szCs w:val="24"/>
        </w:rPr>
      </w:pPr>
      <w:r>
        <w:t>项目类别：一般项目</w:t>
      </w:r>
    </w:p>
    <w:p w14:paraId="5397C7CA">
      <w:pPr>
        <w:pStyle w:val="3"/>
      </w:pPr>
      <w:r>
        <w:t>项目简介：</w:t>
      </w:r>
      <w:r>
        <w:rPr>
          <w:rFonts w:hint="eastAsia"/>
        </w:rPr>
        <w:t>本选题“合成孔径雷达智能成像”聚焦于现代信号处理理论与人工智能技术在雷达信号处理领域的交叉应用。近年来，在面向海面船只等非合作运动目标成像时，</w:t>
      </w:r>
      <w:r>
        <w:rPr>
          <w:rFonts w:hint="eastAsia"/>
          <w:lang w:val="en-US"/>
        </w:rPr>
        <w:t>SAR</w:t>
      </w:r>
      <w:r>
        <w:rPr>
          <w:rFonts w:hint="eastAsia"/>
        </w:rPr>
        <w:t>传统信号处理方法处理性能逐渐遇到瓶颈，难以适用。本选题基于该思想，构建海面目标非理想成像参数和目标结构到</w:t>
      </w:r>
      <w:r>
        <w:rPr>
          <w:rFonts w:hint="eastAsia"/>
          <w:lang w:val="en-US"/>
        </w:rPr>
        <w:t>SAR</w:t>
      </w:r>
      <w:r>
        <w:rPr>
          <w:rFonts w:hint="eastAsia"/>
        </w:rPr>
        <w:t>回波数据的映射关系，构建映射模型，并进一步融合深度学习技术，设计兼具物理模型约束与数据驱动优势的智能成像网络，如将卷积神经网络或</w:t>
      </w:r>
      <w:r>
        <w:rPr>
          <w:rFonts w:hint="eastAsia"/>
          <w:lang w:val="en-US"/>
        </w:rPr>
        <w:t>Transformer</w:t>
      </w:r>
      <w:r>
        <w:rPr>
          <w:rFonts w:hint="eastAsia"/>
        </w:rPr>
        <w:t>引入稀疏重构过程，实现端到端复杂成像参数稀疏场景的快速成像。</w:t>
      </w:r>
    </w:p>
    <w:p w14:paraId="103EEC62">
      <w:pPr>
        <w:rPr>
          <w:rFonts w:hint="eastAsia"/>
        </w:rPr>
      </w:pPr>
    </w:p>
    <w:p w14:paraId="6343670A">
      <w:pPr>
        <w:pStyle w:val="3"/>
      </w:pPr>
      <w:r>
        <w:t>负责人曾经参与科研的情况</w:t>
      </w:r>
    </w:p>
    <w:p w14:paraId="15144726">
      <w:pPr>
        <w:rPr>
          <w:rFonts w:hint="eastAsia" w:eastAsia="宋体" w:asciiTheme="majorHAnsi" w:hAnsiTheme="majorHAnsi" w:cstheme="majorBidi"/>
          <w:b/>
          <w:bCs/>
          <w:kern w:val="2"/>
          <w:sz w:val="24"/>
          <w:szCs w:val="32"/>
          <w:lang w:val="en-US" w:eastAsia="zh-CN" w:bidi="ar-SA"/>
        </w:rPr>
      </w:pPr>
      <w:r>
        <w:rPr>
          <w:rFonts w:hint="eastAsia" w:eastAsia="宋体" w:asciiTheme="majorHAnsi" w:hAnsiTheme="majorHAnsi" w:cstheme="majorBidi"/>
          <w:b/>
          <w:bCs/>
          <w:kern w:val="2"/>
          <w:sz w:val="24"/>
          <w:szCs w:val="32"/>
          <w:lang w:val="en-US" w:eastAsia="zh-CN" w:bidi="ar-SA"/>
        </w:rPr>
        <w:t>2025，2024赛季北京理工大学机器人战队追梦战队队员</w:t>
      </w:r>
    </w:p>
    <w:p w14:paraId="5867D082">
      <w:pPr>
        <w:pStyle w:val="3"/>
      </w:pPr>
      <w:r>
        <w:t>指导教师承担科研课题情况</w:t>
      </w:r>
    </w:p>
    <w:p w14:paraId="36446B60">
      <w:pPr>
        <w:pStyle w:val="3"/>
        <w:rPr>
          <w:rFonts w:hint="eastAsia"/>
        </w:rPr>
      </w:pPr>
      <w:r>
        <w:rPr>
          <w:rFonts w:hint="eastAsia"/>
        </w:rPr>
        <w:t>主要研究领域为：空天合成孔径雷达（</w:t>
      </w:r>
      <w:r>
        <w:rPr>
          <w:rFonts w:hint="eastAsia"/>
          <w:lang w:val="en-US"/>
        </w:rPr>
        <w:t>SAR</w:t>
      </w:r>
      <w:r>
        <w:rPr>
          <w:rFonts w:hint="eastAsia"/>
        </w:rPr>
        <w:t>）信号处理技术：多平台</w:t>
      </w:r>
      <w:r>
        <w:rPr>
          <w:rFonts w:hint="eastAsia"/>
          <w:lang w:val="en-US"/>
        </w:rPr>
        <w:t>SAR</w:t>
      </w:r>
      <w:r>
        <w:rPr>
          <w:rFonts w:hint="eastAsia"/>
        </w:rPr>
        <w:t>多模式成像，</w:t>
      </w:r>
      <w:r>
        <w:rPr>
          <w:rFonts w:hint="eastAsia"/>
          <w:lang w:val="en-US"/>
        </w:rPr>
        <w:t>SAR</w:t>
      </w:r>
      <w:r>
        <w:rPr>
          <w:rFonts w:hint="eastAsia"/>
        </w:rPr>
        <w:t>动目标处理及新体制星载</w:t>
      </w:r>
      <w:r>
        <w:rPr>
          <w:rFonts w:hint="eastAsia"/>
          <w:lang w:val="en-US"/>
        </w:rPr>
        <w:t>SAR</w:t>
      </w:r>
      <w:r>
        <w:rPr>
          <w:rFonts w:hint="eastAsia"/>
        </w:rPr>
        <w:t>系统技术。</w:t>
      </w:r>
    </w:p>
    <w:p w14:paraId="36FD98CC">
      <w:pPr>
        <w:pStyle w:val="3"/>
      </w:pPr>
      <w:r>
        <w:t>指导教师对本项目的支持情况</w:t>
      </w:r>
    </w:p>
    <w:p w14:paraId="38F9DA8E">
      <w:pPr>
        <w:widowControl/>
        <w:ind w:firstLine="420"/>
        <w:jc w:val="left"/>
        <w:rPr>
          <w:rFonts w:ascii="宋体" w:hAnsi="宋体" w:eastAsia="宋体" w:cs="宋体"/>
          <w:kern w:val="0"/>
          <w:sz w:val="24"/>
          <w:szCs w:val="24"/>
        </w:rPr>
      </w:pPr>
      <w:r>
        <w:rPr>
          <w:rFonts w:ascii="宋体" w:hAnsi="宋体" w:eastAsia="宋体" w:cs="宋体"/>
          <w:kern w:val="0"/>
          <w:sz w:val="24"/>
          <w:szCs w:val="24"/>
        </w:rPr>
        <w:t>立项指导、过程中指导、实验条件提供、部分资金支持。</w:t>
      </w:r>
    </w:p>
    <w:p w14:paraId="07D6F7D1">
      <w:pPr>
        <w:pStyle w:val="2"/>
        <w:rPr>
          <w:rFonts w:ascii="宋体" w:hAnsi="宋体" w:cs="宋体"/>
          <w:kern w:val="0"/>
          <w:sz w:val="24"/>
          <w:szCs w:val="24"/>
        </w:rPr>
      </w:pPr>
      <w:r>
        <w:rPr>
          <w:rFonts w:hint="eastAsia"/>
        </w:rPr>
        <w:t>二、</w:t>
      </w:r>
      <w:r>
        <w:t xml:space="preserve">项目成员&amp;指导老师 </w:t>
      </w:r>
    </w:p>
    <w:p w14:paraId="48DA3A96">
      <w:pPr>
        <w:pStyle w:val="3"/>
      </w:pPr>
      <w:r>
        <w:t>团队成员：</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0EE5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Borders>
              <w:top w:val="single" w:color="auto" w:sz="4" w:space="0"/>
              <w:left w:val="single" w:color="auto" w:sz="4" w:space="0"/>
              <w:bottom w:val="single" w:color="auto" w:sz="4" w:space="0"/>
              <w:right w:val="single" w:color="auto" w:sz="4" w:space="0"/>
            </w:tcBorders>
            <w:shd w:val="clear" w:color="auto" w:fill="auto"/>
          </w:tcPr>
          <w:p w14:paraId="539C581F">
            <w:pPr>
              <w:snapToGrid w:val="0"/>
              <w:spacing w:line="360" w:lineRule="auto"/>
              <w:jc w:val="center"/>
              <w:rPr>
                <w:rFonts w:hint="default"/>
                <w:kern w:val="0"/>
                <w:szCs w:val="20"/>
              </w:rPr>
            </w:pPr>
            <w:r>
              <w:rPr>
                <w:rFonts w:hint="eastAsia" w:ascii="Times New Roman" w:hAnsi="Times New Roman" w:eastAsia="宋体" w:cs="宋体"/>
                <w:kern w:val="0"/>
                <w:sz w:val="24"/>
                <w:szCs w:val="20"/>
                <w:lang w:bidi="ar"/>
              </w:rPr>
              <w:t>姓名</w:t>
            </w:r>
          </w:p>
        </w:tc>
        <w:tc>
          <w:tcPr>
            <w:tcW w:w="6287" w:type="dxa"/>
            <w:tcBorders>
              <w:top w:val="single" w:color="auto" w:sz="4" w:space="0"/>
              <w:left w:val="single" w:color="auto" w:sz="4" w:space="0"/>
              <w:bottom w:val="single" w:color="auto" w:sz="4" w:space="0"/>
              <w:right w:val="single" w:color="auto" w:sz="4" w:space="0"/>
            </w:tcBorders>
            <w:shd w:val="clear" w:color="auto" w:fill="auto"/>
          </w:tcPr>
          <w:p w14:paraId="46AB6ED7">
            <w:pPr>
              <w:snapToGrid w:val="0"/>
              <w:spacing w:line="360" w:lineRule="auto"/>
              <w:jc w:val="center"/>
              <w:rPr>
                <w:rFonts w:hint="default"/>
                <w:kern w:val="0"/>
                <w:szCs w:val="20"/>
              </w:rPr>
            </w:pPr>
            <w:r>
              <w:rPr>
                <w:rFonts w:hint="eastAsia" w:ascii="Times New Roman" w:hAnsi="Times New Roman" w:eastAsia="宋体" w:cs="宋体"/>
                <w:kern w:val="0"/>
                <w:sz w:val="24"/>
                <w:szCs w:val="20"/>
                <w:lang w:bidi="ar"/>
              </w:rPr>
              <w:t>分工</w:t>
            </w:r>
          </w:p>
        </w:tc>
      </w:tr>
      <w:tr w14:paraId="6F1D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Borders>
              <w:top w:val="single" w:color="auto" w:sz="4" w:space="0"/>
              <w:left w:val="single" w:color="auto" w:sz="4" w:space="0"/>
              <w:bottom w:val="single" w:color="auto" w:sz="4" w:space="0"/>
              <w:right w:val="single" w:color="auto" w:sz="4" w:space="0"/>
            </w:tcBorders>
            <w:shd w:val="clear" w:color="auto" w:fill="auto"/>
          </w:tcPr>
          <w:p w14:paraId="7919D041">
            <w:pPr>
              <w:snapToGrid w:val="0"/>
              <w:spacing w:line="360" w:lineRule="auto"/>
              <w:jc w:val="center"/>
              <w:rPr>
                <w:rFonts w:hint="eastAsia" w:ascii="Times New Roman" w:hAnsi="Times New Roman" w:eastAsia="宋体" w:cs="宋体"/>
                <w:kern w:val="0"/>
                <w:sz w:val="24"/>
                <w:szCs w:val="20"/>
                <w:lang w:bidi="ar"/>
              </w:rPr>
            </w:pPr>
            <w:r>
              <w:rPr>
                <w:rFonts w:hint="eastAsia" w:ascii="宋体" w:hAnsi="宋体" w:eastAsia="宋体" w:cs="宋体"/>
                <w:i w:val="0"/>
                <w:iCs w:val="0"/>
                <w:caps w:val="0"/>
                <w:color w:val="000000"/>
                <w:spacing w:val="0"/>
                <w:sz w:val="16"/>
                <w:szCs w:val="16"/>
              </w:rPr>
              <w:t>霍一韩</w:t>
            </w:r>
          </w:p>
        </w:tc>
        <w:tc>
          <w:tcPr>
            <w:tcW w:w="6287" w:type="dxa"/>
            <w:tcBorders>
              <w:top w:val="single" w:color="auto" w:sz="4" w:space="0"/>
              <w:left w:val="single" w:color="auto" w:sz="4" w:space="0"/>
              <w:bottom w:val="single" w:color="auto" w:sz="4" w:space="0"/>
              <w:right w:val="single" w:color="auto" w:sz="4" w:space="0"/>
            </w:tcBorders>
            <w:shd w:val="clear" w:color="auto" w:fill="auto"/>
          </w:tcPr>
          <w:p w14:paraId="4A61364F">
            <w:pPr>
              <w:snapToGrid w:val="0"/>
              <w:spacing w:line="360" w:lineRule="auto"/>
              <w:jc w:val="center"/>
              <w:rPr>
                <w:rFonts w:hint="eastAsia" w:ascii="Times New Roman" w:hAnsi="Times New Roman" w:eastAsia="宋体" w:cs="宋体"/>
                <w:kern w:val="0"/>
                <w:sz w:val="24"/>
                <w:szCs w:val="20"/>
                <w:lang w:bidi="ar"/>
              </w:rPr>
            </w:pPr>
            <w:r>
              <w:rPr>
                <w:rFonts w:hint="eastAsia" w:ascii="宋体" w:hAnsi="宋体" w:eastAsia="宋体" w:cs="宋体"/>
                <w:i w:val="0"/>
                <w:iCs w:val="0"/>
                <w:caps w:val="0"/>
                <w:color w:val="000000"/>
                <w:spacing w:val="0"/>
                <w:sz w:val="16"/>
                <w:szCs w:val="16"/>
              </w:rPr>
              <w:t>负责人，算法编写</w:t>
            </w:r>
          </w:p>
        </w:tc>
      </w:tr>
      <w:tr w14:paraId="4E3C6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Borders>
              <w:top w:val="single" w:color="auto" w:sz="4" w:space="0"/>
              <w:left w:val="single" w:color="auto" w:sz="4" w:space="0"/>
              <w:bottom w:val="single" w:color="auto" w:sz="4" w:space="0"/>
              <w:right w:val="single" w:color="auto" w:sz="4" w:space="0"/>
            </w:tcBorders>
            <w:shd w:val="clear" w:color="auto" w:fill="auto"/>
          </w:tcPr>
          <w:p w14:paraId="1C70F57E">
            <w:pPr>
              <w:snapToGrid w:val="0"/>
              <w:spacing w:line="360" w:lineRule="auto"/>
              <w:jc w:val="center"/>
              <w:rPr>
                <w:rFonts w:hint="eastAsia" w:ascii="Times New Roman" w:hAnsi="Times New Roman" w:eastAsia="宋体" w:cs="宋体"/>
                <w:kern w:val="0"/>
                <w:sz w:val="24"/>
                <w:szCs w:val="20"/>
                <w:lang w:bidi="ar"/>
              </w:rPr>
            </w:pPr>
            <w:r>
              <w:rPr>
                <w:rFonts w:hint="eastAsia" w:ascii="宋体" w:hAnsi="宋体" w:eastAsia="宋体" w:cs="宋体"/>
                <w:i w:val="0"/>
                <w:iCs w:val="0"/>
                <w:caps w:val="0"/>
                <w:color w:val="000000"/>
                <w:spacing w:val="0"/>
                <w:sz w:val="16"/>
                <w:szCs w:val="16"/>
              </w:rPr>
              <w:t>刘星言</w:t>
            </w:r>
          </w:p>
        </w:tc>
        <w:tc>
          <w:tcPr>
            <w:tcW w:w="6287" w:type="dxa"/>
            <w:tcBorders>
              <w:top w:val="single" w:color="auto" w:sz="4" w:space="0"/>
              <w:left w:val="single" w:color="auto" w:sz="4" w:space="0"/>
              <w:bottom w:val="single" w:color="auto" w:sz="4" w:space="0"/>
              <w:right w:val="single" w:color="auto" w:sz="4" w:space="0"/>
            </w:tcBorders>
            <w:shd w:val="clear" w:color="auto" w:fill="auto"/>
          </w:tcPr>
          <w:p w14:paraId="4EBE8D45">
            <w:pPr>
              <w:snapToGrid w:val="0"/>
              <w:spacing w:line="360" w:lineRule="auto"/>
              <w:jc w:val="center"/>
              <w:rPr>
                <w:rFonts w:hint="eastAsia" w:ascii="Times New Roman" w:hAnsi="Times New Roman" w:eastAsia="宋体" w:cs="宋体"/>
                <w:kern w:val="0"/>
                <w:sz w:val="24"/>
                <w:szCs w:val="20"/>
                <w:lang w:bidi="ar"/>
              </w:rPr>
            </w:pPr>
            <w:r>
              <w:rPr>
                <w:rFonts w:hint="eastAsia" w:ascii="宋体" w:hAnsi="宋体" w:eastAsia="宋体" w:cs="宋体"/>
                <w:i w:val="0"/>
                <w:iCs w:val="0"/>
                <w:caps w:val="0"/>
                <w:color w:val="000000"/>
                <w:spacing w:val="0"/>
                <w:sz w:val="16"/>
                <w:szCs w:val="16"/>
              </w:rPr>
              <w:t>项目推进落实，</w:t>
            </w:r>
            <w:r>
              <w:rPr>
                <w:rFonts w:hint="eastAsia" w:ascii="宋体" w:hAnsi="宋体" w:eastAsia="宋体" w:cs="宋体"/>
                <w:i w:val="0"/>
                <w:iCs w:val="0"/>
                <w:caps w:val="0"/>
                <w:color w:val="000000"/>
                <w:spacing w:val="0"/>
                <w:sz w:val="16"/>
                <w:szCs w:val="16"/>
                <w:lang w:val="en-US"/>
              </w:rPr>
              <w:t>PPT</w:t>
            </w:r>
            <w:r>
              <w:rPr>
                <w:rFonts w:hint="eastAsia" w:ascii="宋体" w:hAnsi="宋体" w:eastAsia="宋体" w:cs="宋体"/>
                <w:i w:val="0"/>
                <w:iCs w:val="0"/>
                <w:caps w:val="0"/>
                <w:color w:val="000000"/>
                <w:spacing w:val="0"/>
                <w:sz w:val="16"/>
                <w:szCs w:val="16"/>
              </w:rPr>
              <w:t>制作</w:t>
            </w:r>
          </w:p>
        </w:tc>
      </w:tr>
      <w:tr w14:paraId="40FD9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Borders>
              <w:top w:val="single" w:color="auto" w:sz="4" w:space="0"/>
              <w:left w:val="single" w:color="auto" w:sz="4" w:space="0"/>
              <w:bottom w:val="single" w:color="auto" w:sz="4" w:space="0"/>
              <w:right w:val="single" w:color="auto" w:sz="4" w:space="0"/>
            </w:tcBorders>
            <w:shd w:val="clear" w:color="auto" w:fill="auto"/>
          </w:tcPr>
          <w:p w14:paraId="273EF2F4">
            <w:pPr>
              <w:snapToGrid w:val="0"/>
              <w:spacing w:line="360" w:lineRule="auto"/>
              <w:jc w:val="center"/>
              <w:rPr>
                <w:rFonts w:hint="eastAsia" w:ascii="Times New Roman" w:hAnsi="Times New Roman" w:eastAsia="宋体" w:cs="宋体"/>
                <w:kern w:val="0"/>
                <w:sz w:val="24"/>
                <w:szCs w:val="20"/>
                <w:lang w:bidi="ar"/>
              </w:rPr>
            </w:pPr>
            <w:r>
              <w:rPr>
                <w:rFonts w:hint="eastAsia" w:ascii="宋体" w:hAnsi="宋体" w:eastAsia="宋体" w:cs="宋体"/>
                <w:i w:val="0"/>
                <w:iCs w:val="0"/>
                <w:caps w:val="0"/>
                <w:color w:val="000000"/>
                <w:spacing w:val="0"/>
                <w:sz w:val="16"/>
                <w:szCs w:val="16"/>
              </w:rPr>
              <w:t>李佳骏</w:t>
            </w:r>
          </w:p>
        </w:tc>
        <w:tc>
          <w:tcPr>
            <w:tcW w:w="6287" w:type="dxa"/>
            <w:tcBorders>
              <w:top w:val="single" w:color="auto" w:sz="4" w:space="0"/>
              <w:left w:val="single" w:color="auto" w:sz="4" w:space="0"/>
              <w:bottom w:val="single" w:color="auto" w:sz="4" w:space="0"/>
              <w:right w:val="single" w:color="auto" w:sz="4" w:space="0"/>
            </w:tcBorders>
            <w:shd w:val="clear" w:color="auto" w:fill="auto"/>
          </w:tcPr>
          <w:p w14:paraId="7E19CE3F">
            <w:pPr>
              <w:snapToGrid w:val="0"/>
              <w:spacing w:line="360" w:lineRule="auto"/>
              <w:jc w:val="center"/>
              <w:rPr>
                <w:rFonts w:hint="eastAsia" w:ascii="Times New Roman" w:hAnsi="Times New Roman" w:eastAsia="宋体" w:cs="宋体"/>
                <w:kern w:val="0"/>
                <w:sz w:val="24"/>
                <w:szCs w:val="20"/>
                <w:lang w:bidi="ar"/>
              </w:rPr>
            </w:pPr>
            <w:r>
              <w:rPr>
                <w:rFonts w:hint="eastAsia" w:ascii="宋体" w:hAnsi="宋体" w:eastAsia="宋体" w:cs="宋体"/>
                <w:i w:val="0"/>
                <w:iCs w:val="0"/>
                <w:caps w:val="0"/>
                <w:color w:val="000000"/>
                <w:spacing w:val="0"/>
                <w:sz w:val="16"/>
                <w:szCs w:val="16"/>
              </w:rPr>
              <w:t>项目规划，算法调试</w:t>
            </w:r>
          </w:p>
        </w:tc>
      </w:tr>
      <w:tr w14:paraId="6D9C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Borders>
              <w:top w:val="single" w:color="auto" w:sz="4" w:space="0"/>
              <w:left w:val="single" w:color="auto" w:sz="4" w:space="0"/>
              <w:bottom w:val="single" w:color="auto" w:sz="4" w:space="0"/>
              <w:right w:val="single" w:color="auto" w:sz="4" w:space="0"/>
            </w:tcBorders>
            <w:shd w:val="clear" w:color="auto" w:fill="auto"/>
          </w:tcPr>
          <w:p w14:paraId="58CFDBF9">
            <w:pPr>
              <w:snapToGrid w:val="0"/>
              <w:spacing w:line="360" w:lineRule="auto"/>
              <w:jc w:val="center"/>
              <w:rPr>
                <w:rFonts w:hint="eastAsia" w:ascii="Times New Roman" w:hAnsi="Times New Roman" w:eastAsia="宋体" w:cs="宋体"/>
                <w:kern w:val="0"/>
                <w:sz w:val="24"/>
                <w:szCs w:val="20"/>
                <w:lang w:bidi="ar"/>
              </w:rPr>
            </w:pPr>
            <w:r>
              <w:rPr>
                <w:rFonts w:hint="eastAsia" w:ascii="宋体" w:hAnsi="宋体" w:eastAsia="宋体" w:cs="宋体"/>
                <w:i w:val="0"/>
                <w:iCs w:val="0"/>
                <w:caps w:val="0"/>
                <w:color w:val="000000"/>
                <w:spacing w:val="0"/>
                <w:sz w:val="16"/>
                <w:szCs w:val="16"/>
              </w:rPr>
              <w:t>王城昡</w:t>
            </w:r>
          </w:p>
        </w:tc>
        <w:tc>
          <w:tcPr>
            <w:tcW w:w="6287" w:type="dxa"/>
            <w:tcBorders>
              <w:top w:val="single" w:color="auto" w:sz="4" w:space="0"/>
              <w:left w:val="single" w:color="auto" w:sz="4" w:space="0"/>
              <w:bottom w:val="single" w:color="auto" w:sz="4" w:space="0"/>
              <w:right w:val="single" w:color="auto" w:sz="4" w:space="0"/>
            </w:tcBorders>
            <w:shd w:val="clear" w:color="auto" w:fill="auto"/>
          </w:tcPr>
          <w:p w14:paraId="3FC60171">
            <w:pPr>
              <w:snapToGrid w:val="0"/>
              <w:spacing w:line="360" w:lineRule="auto"/>
              <w:jc w:val="center"/>
              <w:rPr>
                <w:rFonts w:hint="eastAsia" w:ascii="Times New Roman" w:hAnsi="Times New Roman" w:eastAsia="宋体" w:cs="宋体"/>
                <w:kern w:val="0"/>
                <w:sz w:val="24"/>
                <w:szCs w:val="20"/>
                <w:lang w:bidi="ar"/>
              </w:rPr>
            </w:pPr>
            <w:r>
              <w:rPr>
                <w:rFonts w:hint="eastAsia" w:ascii="宋体" w:hAnsi="宋体" w:eastAsia="宋体" w:cs="宋体"/>
                <w:i w:val="0"/>
                <w:iCs w:val="0"/>
                <w:caps w:val="0"/>
                <w:color w:val="000000"/>
                <w:spacing w:val="0"/>
                <w:sz w:val="16"/>
                <w:szCs w:val="16"/>
              </w:rPr>
              <w:t>算法和硬件的适配调试</w:t>
            </w:r>
          </w:p>
        </w:tc>
      </w:tr>
    </w:tbl>
    <w:p w14:paraId="462EBE3F">
      <w:pPr>
        <w:widowControl/>
        <w:jc w:val="left"/>
        <w:rPr>
          <w:rFonts w:ascii="宋体" w:hAnsi="宋体" w:eastAsia="宋体" w:cs="宋体"/>
          <w:kern w:val="0"/>
          <w:sz w:val="24"/>
          <w:szCs w:val="24"/>
        </w:rPr>
      </w:pPr>
    </w:p>
    <w:p w14:paraId="4F7E1EE6">
      <w:pPr>
        <w:pStyle w:val="3"/>
      </w:pPr>
      <w:r>
        <w:t>指导老师：</w:t>
      </w:r>
    </w:p>
    <w:p w14:paraId="5A1AD51B">
      <w:pPr>
        <w:widowControl/>
        <w:jc w:val="left"/>
        <w:rPr>
          <w:rFonts w:eastAsia="宋体" w:asciiTheme="majorHAnsi" w:hAnsiTheme="majorHAnsi" w:cstheme="majorBidi"/>
          <w:b/>
          <w:bCs/>
          <w:kern w:val="2"/>
          <w:sz w:val="24"/>
          <w:szCs w:val="32"/>
          <w:lang w:val="en-US" w:eastAsia="zh-CN" w:bidi="ar-SA"/>
        </w:rPr>
      </w:pPr>
      <w:r>
        <w:rPr>
          <w:rFonts w:hint="eastAsia" w:eastAsia="宋体" w:asciiTheme="majorHAnsi" w:hAnsiTheme="majorHAnsi" w:cstheme="majorBidi"/>
          <w:b/>
          <w:bCs/>
          <w:kern w:val="2"/>
          <w:sz w:val="24"/>
          <w:szCs w:val="32"/>
          <w:lang w:val="en-US" w:eastAsia="zh-CN" w:bidi="ar-SA"/>
        </w:rPr>
        <w:t>李涵</w:t>
      </w:r>
      <w:r>
        <w:rPr>
          <w:rFonts w:eastAsia="宋体" w:asciiTheme="majorHAnsi" w:hAnsiTheme="majorHAnsi" w:cstheme="majorBidi"/>
          <w:b/>
          <w:bCs/>
          <w:kern w:val="2"/>
          <w:sz w:val="24"/>
          <w:szCs w:val="32"/>
          <w:lang w:val="en-US" w:eastAsia="zh-CN" w:bidi="ar-SA"/>
        </w:rPr>
        <w:t>：</w:t>
      </w:r>
      <w:r>
        <w:rPr>
          <w:rFonts w:hint="eastAsia" w:eastAsia="宋体" w:asciiTheme="majorHAnsi" w:hAnsiTheme="majorHAnsi" w:cstheme="majorBidi"/>
          <w:b/>
          <w:bCs/>
          <w:kern w:val="2"/>
          <w:sz w:val="24"/>
          <w:szCs w:val="32"/>
          <w:lang w:val="en-US" w:eastAsia="zh-CN" w:bidi="ar-SA"/>
        </w:rPr>
        <w:t>信息与电子学院</w:t>
      </w:r>
    </w:p>
    <w:p w14:paraId="0F62E7C1">
      <w:pPr>
        <w:pStyle w:val="2"/>
      </w:pPr>
      <w:r>
        <w:rPr>
          <w:rFonts w:hint="eastAsia"/>
        </w:rPr>
        <w:t>三、</w:t>
      </w:r>
      <w:r>
        <w:t xml:space="preserve">立项依据 </w:t>
      </w:r>
    </w:p>
    <w:p w14:paraId="1A9700D4">
      <w:pPr>
        <w:pStyle w:val="3"/>
      </w:pPr>
      <w:r>
        <w:t>研究目的</w:t>
      </w:r>
    </w:p>
    <w:p w14:paraId="6D5F6151">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i w:val="0"/>
          <w:iCs w:val="0"/>
          <w:caps w:val="0"/>
          <w:color w:val="000000"/>
          <w:spacing w:val="0"/>
          <w:sz w:val="27"/>
          <w:szCs w:val="27"/>
        </w:rPr>
      </w:pPr>
      <w:r>
        <w:rPr>
          <w:rFonts w:hint="eastAsia" w:ascii="宋体" w:hAnsi="宋体" w:eastAsia="宋体" w:cs="宋体"/>
          <w:i w:val="0"/>
          <w:iCs w:val="0"/>
          <w:caps w:val="0"/>
          <w:color w:val="000000"/>
          <w:spacing w:val="0"/>
          <w:kern w:val="0"/>
          <w:sz w:val="27"/>
          <w:szCs w:val="27"/>
          <w:lang w:val="en-US" w:eastAsia="zh-CN" w:bidi="ar"/>
        </w:rPr>
        <w:t>1. 明确复杂成像参数场景下的合成孔径雷达（Synthetic Aperture Radar, SAR）回波信号特性：系统分析海面运动船只SAR回波信号模型和成像参数特点，为后续构建回波信号到成像结果的映射关系提供依据。</w:t>
      </w:r>
    </w:p>
    <w:p w14:paraId="39F18CF5">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2. 构建海面船只成像方案：结合SAR回波信号的物理特性与船只稀疏表示，研究参数估计算法，实现海面目标运动下成像参数估计。</w:t>
      </w:r>
    </w:p>
    <w:p w14:paraId="72B4C9F5">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3. 融合深度学习实现智能成像升级：将卷积神经网络、Transformer等深度学习模型与稀疏重构理论相结合，充分利用物理模型的可解释性与数据驱动方法的自适应学习能力，设计端到端的智能成像网络，突破传统迭代重构算法速度慢、泛化性差的局限。</w:t>
      </w:r>
    </w:p>
    <w:p w14:paraId="49F3FF34">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4. 形成兼具理论与应用价值的成果：探索非合作目标与深度学习融合的SAR成像新范式，为相关领域的研究提供可借鉴的方法与思路，培养学生的科研创新能力与工程实践能力，助力大创课题成果的学术转化与实际应用。</w:t>
      </w:r>
    </w:p>
    <w:p w14:paraId="096F4844">
      <w:pPr>
        <w:rPr>
          <w:rFonts w:hint="eastAsia"/>
        </w:rPr>
      </w:pPr>
    </w:p>
    <w:p w14:paraId="49BACAE7">
      <w:pPr>
        <w:pStyle w:val="3"/>
      </w:pPr>
      <w:r>
        <w:t>研究内容</w:t>
      </w:r>
    </w:p>
    <w:p w14:paraId="09E2A17C">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本课题为参数估计和合成孔径雷达成像理论为基础，针对SAR成像的性能提升需求设计研究内容，整体分为“信号特性分析—参数估计算法-深度学习融合创新—性能验证与优化”四个核心模块，具体内容如下：</w:t>
      </w:r>
    </w:p>
    <w:p w14:paraId="4D13F913">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1.数学建模：构建SAR工作模式下不同运动参数下海面目标的回波信号模型。</w:t>
      </w:r>
    </w:p>
    <w:p w14:paraId="28D99A75">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2. 海面船只SAR回波信号数据集构建：收集或通过电磁仿真生成不同运动参数下SAR回波信号数据，建立数据集。</w:t>
      </w:r>
    </w:p>
    <w:p w14:paraId="3E239067">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3. 传统范式下信号处理技术：研究传统范式下的多维参数估计和成像技术。包含SAR传统成像方法如距离-多普勒算法、线性变标算法，基于广义瑞登傅里叶变换的多维参数估计等，实现传统算法下的海面目标成像处理。</w:t>
      </w:r>
    </w:p>
    <w:p w14:paraId="4F14E5A5">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4. 基于GRFT的智能成像参数估计技术：结合SAR成像的物理机理（距离-多普勒模型）、运动状态和回波信号之间的关系，建立“观测矩阵—运动成像参数—重构约束”的数学模型。以最小化重构误差为目标，引入L1范数（LASSO）作为场景稀疏性约束项，构建基础稀疏优化模型：min||y - Φx||</w:t>
      </w:r>
      <w:r>
        <w:rPr>
          <w:rFonts w:ascii="Cambria Math" w:hAnsi="Cambria Math" w:eastAsia="Cambria Math" w:cs="Cambria Math"/>
          <w:i w:val="0"/>
          <w:iCs w:val="0"/>
          <w:caps w:val="0"/>
          <w:color w:val="000000"/>
          <w:spacing w:val="0"/>
          <w:kern w:val="0"/>
          <w:sz w:val="24"/>
          <w:szCs w:val="24"/>
          <w:lang w:val="en-US" w:eastAsia="zh-CN" w:bidi="ar"/>
        </w:rPr>
        <w:t>₂</w:t>
      </w:r>
      <w:r>
        <w:rPr>
          <w:rFonts w:hint="eastAsia" w:ascii="宋体" w:hAnsi="宋体" w:eastAsia="宋体" w:cs="宋体"/>
          <w:i w:val="0"/>
          <w:iCs w:val="0"/>
          <w:caps w:val="0"/>
          <w:color w:val="000000"/>
          <w:spacing w:val="0"/>
          <w:kern w:val="0"/>
          <w:sz w:val="24"/>
          <w:szCs w:val="24"/>
          <w:lang w:val="en-US" w:eastAsia="zh-CN" w:bidi="ar"/>
        </w:rPr>
        <w:t>² + λ||x||</w:t>
      </w:r>
      <w:r>
        <w:rPr>
          <w:rFonts w:hint="default" w:ascii="Cambria Math" w:hAnsi="Cambria Math" w:eastAsia="Cambria Math" w:cs="Cambria Math"/>
          <w:i w:val="0"/>
          <w:iCs w:val="0"/>
          <w:caps w:val="0"/>
          <w:color w:val="000000"/>
          <w:spacing w:val="0"/>
          <w:kern w:val="0"/>
          <w:sz w:val="24"/>
          <w:szCs w:val="24"/>
          <w:lang w:val="en-US" w:eastAsia="zh-CN" w:bidi="ar"/>
        </w:rPr>
        <w:t>₁</w:t>
      </w:r>
      <w:r>
        <w:rPr>
          <w:rFonts w:hint="eastAsia" w:ascii="宋体" w:hAnsi="宋体" w:eastAsia="宋体" w:cs="宋体"/>
          <w:i w:val="0"/>
          <w:iCs w:val="0"/>
          <w:caps w:val="0"/>
          <w:color w:val="000000"/>
          <w:spacing w:val="0"/>
          <w:kern w:val="0"/>
          <w:sz w:val="24"/>
          <w:szCs w:val="24"/>
          <w:lang w:val="en-US" w:eastAsia="zh-CN" w:bidi="ar"/>
        </w:rPr>
        <w:t>，其中y为观测信号，Φ为观测矩阵，x为稀疏系数，λ为正则化参数。</w:t>
      </w:r>
    </w:p>
    <w:p w14:paraId="0A1488CF">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5. 模型优化与算法实现：引入基于RD，BP智能算法的基础模型，并针对研究目标进行优化，使用智能网络快速迭代替代传统算法中的慢速模块，提升数据处理效率；采用交替方向乘子法（ADMM）对模型进行求解，通过自适应调整迭代步长与正则化参数，提升算法收敛速度。基于Python（NumPy、CVXPY库）实现优化模型的代码开发与调试。</w:t>
      </w:r>
    </w:p>
    <w:p w14:paraId="335635BA">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6. 模型性能初步验证：将优化后的模型应用于标准化数据集，在不同采样率与信噪比条件下进行成像实验，对比传统RD算法、BP算法与本模型的成像结果，从结构相似性（SSIM）、目标边缘清晰度等指标评估模型的成像质量与抗噪性能。</w:t>
      </w:r>
    </w:p>
    <w:p w14:paraId="2890CC9B">
      <w:pPr>
        <w:rPr>
          <w:rFonts w:hint="eastAsia"/>
        </w:rPr>
      </w:pPr>
    </w:p>
    <w:p w14:paraId="5B46BE43">
      <w:pPr>
        <w:pStyle w:val="3"/>
      </w:pPr>
      <w:r>
        <w:t>国内外研究现状和发展动态</w:t>
      </w:r>
    </w:p>
    <w:p w14:paraId="4FD95525">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合成孔径雷达（SAR）凭借全天时、全天候的成像优势，在遥感监测、资源勘探等领域占据核心地位。随着低采样率、高抗噪性、实时成像等需求升级，压缩感知与深度学习的融合成为技术突破关键。以下从国内外研究现状及发展动态两方面，系统梳理该领域的研究脉络与前沿方向：</w:t>
      </w:r>
    </w:p>
    <w:p w14:paraId="5C2C2B7D">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深度学习技术在SAR成像中的应用以美国、日本为主要引领者。早期以数据驱动为主，如美国伦斯勒理工学院提出基于CNN的SAR图像增强网络，通过端到端学习实现散焦图像的快速复原，但因缺乏物理模型约束，在低信噪比场景下泛化性不足。</w:t>
      </w:r>
    </w:p>
    <w:p w14:paraId="2A852415">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当前前沿方向为“物理模型+数据驱动”的融合架构。日本东京工业大学将SAR成像的距离-多普勒模型嵌入Transformer网络的注意力机制，使网络输出严格符合电磁散射规律，在运动目标成像中，将方位向模糊度降低40%。此外，国外团队在三维SAR成像领域进展显著，通过深度学习与层析SAR技术结合，实现城市建筑群的高精度三维建模，但普遍存在数据采集成本高、硬件系统复杂的问题。</w:t>
      </w:r>
    </w:p>
    <w:p w14:paraId="0D56AC65">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国内研究以中科院空天院、电子科技大学为核心力量，在稀疏基定制与工程化应用方面形成特色优势。电子科技大学针对SAR相干斑噪声问题，提出结合非凸惩罚项的稀疏优化模型，采用SCAD惩罚项替代传统L1范数，使成像的峰值信噪比（PSNR）提升10dB以上。</w:t>
      </w:r>
    </w:p>
    <w:p w14:paraId="49DCAB91">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在三维成像领域，中科院空天院取得突破性进展，提出原创的“微波视觉三维成像”理论，通过智能处理自动识别目标三维几何特征，将成像所需观测数量减少50%以上，点云高程精度提升30%，相关成果已应用于祁连山脉冰川冰厚测量等实际任务。该团队还发布了首个国产SAR三维成像数据集，累计被200多个机构下载1.1万余次，有效缓解了数据稀缺问题。</w:t>
      </w:r>
    </w:p>
    <w:p w14:paraId="6FF3AD0C">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国内研究更注重技术落地，在特定场景的性能优化上表现突出。中科院空天院研发的SAR微波视觉三维成像处理原型系统，已试用于机载与星载SAR地面处理系统，解决了西部多云雾山区的高精度测绘难题。在算法创新方面，清华大学提出基于改进U-Net的稀疏重构网络，将稀疏特征提取模块与残差卷积结合，使单幅图像处理时间缩短至0.3秒，满足实时成像需求。</w:t>
      </w:r>
    </w:p>
    <w:p w14:paraId="1C17C7C6">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国内研究还关注数据集建设与基础理论完善，如CSDN博客文献所述，国内学者系统梳理了SAR深度学习成像的技术路径，提出“增强成像+端到端成像”的双轨发展模式，并针对复杂电磁环境下的鲁棒性问题，开展了大量实测数据验证工作。但整体来看，在通用化网络架构设计、极端场景（如SNR≤5dB）泛化性方面仍有提升空间。</w:t>
      </w:r>
    </w:p>
    <w:p w14:paraId="097E25F1">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综合国内外研究，当前SAR成像技术呈现三大发展动态：一是稀疏表示从固定基向“场景自适应字典”演进，结合SAR信号物理特性定制字典成为提升稀疏性的关键；二是深度学习融合从“黑盒模型”向“物理约束可解释模型”转型，兼顾成像精度与泛化性；三是应用场景从二维成像向三维建模延伸，高效能、低成本的三维成像技术成为竞争焦点。此外，数据集标准化与跨平台算法迁移（如从机载到星载）也是未来重要研究方向。</w:t>
      </w:r>
    </w:p>
    <w:p w14:paraId="6530870D">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本课题立足上述研究现状，针对“极端场景稀疏性不足”“物理约束与数据驱动融合不深”等问题，通过优化模型与深度学习网络架构，旨在形成复杂场景快速成像能力的技术方案，契合当前领域发展需求。</w:t>
      </w:r>
    </w:p>
    <w:p w14:paraId="73400184">
      <w:pPr>
        <w:rPr>
          <w:rFonts w:hint="eastAsia"/>
        </w:rPr>
      </w:pPr>
    </w:p>
    <w:p w14:paraId="3968E2E9">
      <w:pPr>
        <w:pStyle w:val="3"/>
      </w:pPr>
      <w:r>
        <w:t>创新点与项目特色</w:t>
      </w:r>
    </w:p>
    <w:p w14:paraId="6468BC2C">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本大学生创新创业训练计划课题紧扣SAR成像技术发展前沿，深度融合SAR参数估计与深度学习技术，针对传统成像方法在非合作目标成像性能瓶颈展开突破。课题的创新点与项目特色围绕技术突破、方法创新及应用落地三大维度构建，既体现学术前沿性，又突出大创课题的实践导向。</w:t>
      </w:r>
    </w:p>
    <w:p w14:paraId="28A44671">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主要创新点为：打破传统SAR成像中合作目标假设的应用桎梏，突破当前深度学习SAR成像“黑盒模型”的泛化性缺陷，构建“成像参数提取—深度重构—物理约束校正”的端到端智能网络。前端构建特征提取模块，保留SAR信号的物理本质；中端采用改进型U-Net（残差卷积替代普通卷积）或Vision Transformer（ViT）模块，自适应学习全局与局部特征映射规律；后端创新性嵌入SAR成像核心物理机理（距离-多普勒模型），形成物理约束层，强制网络输出符合电磁散射规律。该架构实现“数据驱动的自适应能力”与“物理模型的可解释性”双重优势，可实现非合作的海面目标快速精确成像。</w:t>
      </w:r>
    </w:p>
    <w:p w14:paraId="1E759CAE">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主要特色为：“理论成果实用化”为核心目标，引入最新前沿技术，将课题研究内容与实际问题相结合，突破非合作目标下传统信号处理的性能边界，后续进一步技术升级可直接对接机载、星载SAR地面处理系统进行试用，为后续工程化推广奠定基础，可有效满足广域海洋监测的应用需求。</w:t>
      </w:r>
    </w:p>
    <w:p w14:paraId="1F3CBA5E">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综上，本课题的创新点聚焦技术核心瓶颈突破，项目特色突出“理论扎实、数据可靠、成果可用”的大创课题属性，既符合SAR成像领域“物理约束+数据驱动”的发展趋势，又能为实际工程应用提供有价值的技术支撑。</w:t>
      </w:r>
    </w:p>
    <w:p w14:paraId="58321C24">
      <w:pPr>
        <w:rPr>
          <w:rFonts w:hint="eastAsia"/>
        </w:rPr>
      </w:pPr>
      <w:bookmarkStart w:id="1" w:name="_GoBack"/>
      <w:bookmarkEnd w:id="1"/>
    </w:p>
    <w:p w14:paraId="193EA0C7">
      <w:pPr>
        <w:pStyle w:val="3"/>
      </w:pPr>
      <w:r>
        <w:t>技术路线、拟解决的问题以及预期效果</w:t>
      </w:r>
    </w:p>
    <w:p w14:paraId="1DC03725">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本大创课题以压缩感知为基，融合稀疏表示与深度学习突破SAR成像瓶颈。核心创新是将距离-多普勒模型嵌入U-Net/ViT，并将其应用于运动船只复杂成像参数估计和成像中，打造“物理约束+数据驱动”的回波到图像的端到端网络。</w:t>
      </w:r>
    </w:p>
    <w:p w14:paraId="2B7A65C5">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项目特色为非合作目标SAR的自适应智能成像，可实现静止运动，平动运动（速度≤10m/s），可适用海况：≤3级，可服务海洋监测等场景。</w:t>
      </w:r>
    </w:p>
    <w:p w14:paraId="156D8AC0">
      <w:pPr>
        <w:rPr>
          <w:rFonts w:hint="eastAsia"/>
        </w:rPr>
      </w:pPr>
    </w:p>
    <w:p w14:paraId="7D0761BB">
      <w:pPr>
        <w:pStyle w:val="3"/>
      </w:pPr>
      <w:r>
        <w:t>项目研究进度安排</w:t>
      </w:r>
    </w:p>
    <w:p w14:paraId="08403CD4">
      <w:pPr>
        <w:pStyle w:val="4"/>
        <w:keepNext w:val="0"/>
        <w:keepLines w:val="0"/>
        <w:widowControl/>
        <w:suppressLineNumbers w:val="0"/>
        <w:spacing w:line="480" w:lineRule="atLeast"/>
        <w:ind w:left="0" w:right="0" w:firstLine="480"/>
        <w:rPr>
          <w:rFonts w:hint="eastAsia" w:ascii="宋体" w:hAnsi="宋体" w:eastAsia="宋体" w:cs="宋体"/>
          <w:b/>
          <w:bCs/>
          <w:i w:val="0"/>
          <w:iCs w:val="0"/>
          <w:caps w:val="0"/>
          <w:color w:val="000000"/>
          <w:spacing w:val="0"/>
          <w:sz w:val="27"/>
          <w:szCs w:val="27"/>
        </w:rPr>
      </w:pPr>
      <w:r>
        <w:rPr>
          <w:rFonts w:hint="eastAsia" w:ascii="宋体" w:hAnsi="宋体" w:eastAsia="宋体" w:cs="宋体"/>
          <w:b/>
          <w:bCs/>
          <w:i w:val="0"/>
          <w:iCs w:val="0"/>
          <w:caps w:val="0"/>
          <w:color w:val="000000"/>
          <w:spacing w:val="0"/>
          <w:sz w:val="27"/>
          <w:szCs w:val="27"/>
          <w:lang w:val="en-US"/>
        </w:rPr>
        <w:t>1</w:t>
      </w:r>
    </w:p>
    <w:p w14:paraId="76B90F56">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核心任务：完成SAR成像、参数估计及深度学习融合领域核心文献综述和信号处理代码的编写。输出：文献综述报告。</w:t>
      </w:r>
    </w:p>
    <w:p w14:paraId="660ADEB7">
      <w:pPr>
        <w:pStyle w:val="4"/>
        <w:keepNext w:val="0"/>
        <w:keepLines w:val="0"/>
        <w:widowControl/>
        <w:suppressLineNumbers w:val="0"/>
        <w:spacing w:line="480" w:lineRule="atLeast"/>
        <w:ind w:left="0" w:right="0" w:firstLine="480"/>
        <w:rPr>
          <w:rFonts w:hint="eastAsia" w:ascii="宋体" w:hAnsi="宋体" w:eastAsia="宋体" w:cs="宋体"/>
          <w:b/>
          <w:bCs/>
          <w:i w:val="0"/>
          <w:iCs w:val="0"/>
          <w:caps w:val="0"/>
          <w:color w:val="000000"/>
          <w:spacing w:val="0"/>
          <w:sz w:val="27"/>
          <w:szCs w:val="27"/>
        </w:rPr>
      </w:pPr>
      <w:r>
        <w:rPr>
          <w:rFonts w:hint="eastAsia" w:ascii="宋体" w:hAnsi="宋体" w:eastAsia="宋体" w:cs="宋体"/>
          <w:b/>
          <w:bCs/>
          <w:i w:val="0"/>
          <w:iCs w:val="0"/>
          <w:caps w:val="0"/>
          <w:color w:val="000000"/>
          <w:spacing w:val="0"/>
          <w:sz w:val="27"/>
          <w:szCs w:val="27"/>
          <w:lang w:val="en-US"/>
        </w:rPr>
        <w:t>2</w:t>
      </w:r>
    </w:p>
    <w:p w14:paraId="0E12ED45">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核心任务：形成SAR数据，构建数据集；搭建Python开发环境（NumPy、PyTorch等），完成工具调试。</w:t>
      </w:r>
    </w:p>
    <w:p w14:paraId="4D1EB63F">
      <w:pPr>
        <w:pStyle w:val="4"/>
        <w:keepNext w:val="0"/>
        <w:keepLines w:val="0"/>
        <w:widowControl/>
        <w:suppressLineNumbers w:val="0"/>
        <w:spacing w:line="480" w:lineRule="atLeast"/>
        <w:ind w:left="0" w:right="0" w:firstLine="480"/>
        <w:rPr>
          <w:rFonts w:hint="eastAsia" w:ascii="宋体" w:hAnsi="宋体" w:eastAsia="宋体" w:cs="宋体"/>
          <w:b/>
          <w:bCs/>
          <w:i w:val="0"/>
          <w:iCs w:val="0"/>
          <w:caps w:val="0"/>
          <w:color w:val="000000"/>
          <w:spacing w:val="0"/>
          <w:sz w:val="27"/>
          <w:szCs w:val="27"/>
        </w:rPr>
      </w:pPr>
      <w:r>
        <w:rPr>
          <w:rFonts w:hint="eastAsia" w:ascii="宋体" w:hAnsi="宋体" w:eastAsia="宋体" w:cs="宋体"/>
          <w:b/>
          <w:bCs/>
          <w:i w:val="0"/>
          <w:iCs w:val="0"/>
          <w:caps w:val="0"/>
          <w:color w:val="000000"/>
          <w:spacing w:val="0"/>
          <w:sz w:val="27"/>
          <w:szCs w:val="27"/>
          <w:lang w:val="en-US"/>
        </w:rPr>
        <w:t>3</w:t>
      </w:r>
    </w:p>
    <w:p w14:paraId="127917BA">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核心任务：开发成像系统核心功能模块，设计嵌入物理约束的端到端融合网络，划分数据集完成网络训练与参数调优。输出：融合网络代码、性能对比报告、模块开发文档。</w:t>
      </w:r>
    </w:p>
    <w:p w14:paraId="22DAF0A9">
      <w:pPr>
        <w:pStyle w:val="4"/>
        <w:keepNext w:val="0"/>
        <w:keepLines w:val="0"/>
        <w:widowControl/>
        <w:suppressLineNumbers w:val="0"/>
        <w:spacing w:line="480" w:lineRule="atLeast"/>
        <w:ind w:left="0" w:right="0" w:firstLine="480"/>
        <w:rPr>
          <w:rFonts w:hint="eastAsia" w:ascii="宋体" w:hAnsi="宋体" w:eastAsia="宋体" w:cs="宋体"/>
          <w:b/>
          <w:bCs/>
          <w:i w:val="0"/>
          <w:iCs w:val="0"/>
          <w:caps w:val="0"/>
          <w:color w:val="000000"/>
          <w:spacing w:val="0"/>
          <w:sz w:val="27"/>
          <w:szCs w:val="27"/>
        </w:rPr>
      </w:pPr>
      <w:r>
        <w:rPr>
          <w:rFonts w:hint="eastAsia" w:ascii="宋体" w:hAnsi="宋体" w:eastAsia="宋体" w:cs="宋体"/>
          <w:b/>
          <w:bCs/>
          <w:i w:val="0"/>
          <w:iCs w:val="0"/>
          <w:caps w:val="0"/>
          <w:color w:val="000000"/>
          <w:spacing w:val="0"/>
          <w:sz w:val="27"/>
          <w:szCs w:val="27"/>
          <w:lang w:val="en-US"/>
        </w:rPr>
        <w:t>4</w:t>
      </w:r>
    </w:p>
    <w:p w14:paraId="452A49D8">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核心任务：集成各功能模块完成可视化成像系统开发与调试；整理实验数据，优化算法参数；撰写学术论文、研究总结报告，申请专利。输出：研究报告、学术论文、专利著作权受理申请书。</w:t>
      </w:r>
    </w:p>
    <w:p w14:paraId="5BB37420">
      <w:pPr>
        <w:rPr>
          <w:rFonts w:hint="eastAsia"/>
        </w:rPr>
      </w:pPr>
    </w:p>
    <w:p w14:paraId="42147165">
      <w:pPr>
        <w:pStyle w:val="3"/>
      </w:pPr>
      <w:r>
        <w:t>已有基础</w:t>
      </w:r>
    </w:p>
    <w:p w14:paraId="5DB0A58C">
      <w:pPr>
        <w:pStyle w:val="4"/>
      </w:pPr>
      <w:r>
        <w:t>与本项目有关的研究积累和已取得的成绩</w:t>
      </w:r>
    </w:p>
    <w:p w14:paraId="2F90AF02">
      <w:pPr>
        <w:pStyle w:val="4"/>
        <w:keepNext w:val="0"/>
        <w:keepLines w:val="0"/>
        <w:widowControl/>
        <w:suppressLineNumbers w:val="0"/>
        <w:spacing w:line="480" w:lineRule="atLeast"/>
        <w:ind w:left="0" w:right="0" w:firstLine="480"/>
        <w:rPr>
          <w:rFonts w:hint="eastAsia" w:ascii="宋体" w:hAnsi="宋体" w:eastAsia="宋体" w:cs="宋体"/>
          <w:b/>
          <w:bCs/>
          <w:i w:val="0"/>
          <w:iCs w:val="0"/>
          <w:caps w:val="0"/>
          <w:color w:val="000000"/>
          <w:spacing w:val="0"/>
          <w:sz w:val="27"/>
          <w:szCs w:val="27"/>
        </w:rPr>
      </w:pPr>
      <w:r>
        <w:rPr>
          <w:rFonts w:hint="eastAsia" w:ascii="宋体" w:hAnsi="宋体" w:eastAsia="宋体" w:cs="宋体"/>
          <w:b/>
          <w:bCs/>
          <w:i w:val="0"/>
          <w:iCs w:val="0"/>
          <w:caps w:val="0"/>
          <w:color w:val="000000"/>
          <w:spacing w:val="0"/>
          <w:sz w:val="27"/>
          <w:szCs w:val="27"/>
          <w:lang w:val="en-US"/>
        </w:rPr>
        <w:t>1</w:t>
      </w:r>
    </w:p>
    <w:p w14:paraId="27547443">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 核心理论储备：团队成员了解雷达成像原理深度学习基础，如脉冲压缩、二维成像，完成过简单的雷达调试实验。</w:t>
      </w:r>
    </w:p>
    <w:p w14:paraId="3F0478FA">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2. 技术工具能力：团队已了解运用MATLAB，Python及NumPy、PyTorch等工具包，具备数据生成与预处理能力。</w:t>
      </w:r>
    </w:p>
    <w:p w14:paraId="01F58904">
      <w:pPr>
        <w:pStyle w:val="4"/>
        <w:keepNext w:val="0"/>
        <w:keepLines w:val="0"/>
        <w:widowControl/>
        <w:suppressLineNumbers w:val="0"/>
        <w:spacing w:line="480" w:lineRule="atLeast"/>
        <w:ind w:left="0" w:right="0" w:firstLine="480"/>
        <w:rPr>
          <w:rFonts w:hint="eastAsia" w:ascii="宋体" w:hAnsi="宋体" w:eastAsia="宋体" w:cs="宋体"/>
          <w:b/>
          <w:bCs/>
          <w:i w:val="0"/>
          <w:iCs w:val="0"/>
          <w:caps w:val="0"/>
          <w:color w:val="000000"/>
          <w:spacing w:val="0"/>
          <w:sz w:val="27"/>
          <w:szCs w:val="27"/>
        </w:rPr>
      </w:pPr>
      <w:r>
        <w:rPr>
          <w:rFonts w:hint="eastAsia" w:ascii="宋体" w:hAnsi="宋体" w:eastAsia="宋体" w:cs="宋体"/>
          <w:b/>
          <w:bCs/>
          <w:i w:val="0"/>
          <w:iCs w:val="0"/>
          <w:caps w:val="0"/>
          <w:color w:val="000000"/>
          <w:spacing w:val="0"/>
          <w:sz w:val="27"/>
          <w:szCs w:val="27"/>
          <w:lang w:val="en-US"/>
        </w:rPr>
        <w:t>2</w:t>
      </w:r>
    </w:p>
    <w:p w14:paraId="5D5D0620">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 基础模型验证：实现传统RD算法、与基础ADMM稀疏重构算法，为后续模型优化提供参照。</w:t>
      </w:r>
    </w:p>
    <w:p w14:paraId="2A6E3F84">
      <w:pPr>
        <w:rPr>
          <w:rFonts w:hint="eastAsia"/>
        </w:rPr>
      </w:pPr>
    </w:p>
    <w:p w14:paraId="06225D1B">
      <w:pPr>
        <w:pStyle w:val="4"/>
      </w:pPr>
      <w:r>
        <w:t>已具备的条件，尚缺少的条件以及解决办法</w:t>
      </w:r>
    </w:p>
    <w:p w14:paraId="69112140">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 理论基础空白：团队成员尚需进一步系统掌握SAR成像、参数估计原理及深度学习核心知识，缺乏理论支撑。</w:t>
      </w:r>
    </w:p>
    <w:p w14:paraId="3DA7F09A">
      <w:pPr>
        <w:keepNext w:val="0"/>
        <w:keepLines w:val="0"/>
        <w:widowControl/>
        <w:suppressLineNumbers w:val="0"/>
        <w:spacing w:before="0" w:beforeAutospacing="0" w:after="0" w:afterAutospacing="0" w:line="480" w:lineRule="atLeast"/>
        <w:ind w:left="0" w:right="0" w:firstLine="48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2. 科研经验不足：科创经历有限，对文献调研、实验设计、成果总结的流程不熟悉，难以把控研究节奏。</w:t>
      </w:r>
    </w:p>
    <w:p w14:paraId="2CAC3F4B">
      <w:pPr>
        <w:rPr>
          <w:rFonts w:hint="eastAsia"/>
        </w:rPr>
      </w:pPr>
    </w:p>
    <w:p w14:paraId="744D07B8">
      <w:pPr>
        <w:pStyle w:val="2"/>
      </w:pPr>
      <w:r>
        <w:rPr>
          <w:rFonts w:hint="eastAsia"/>
        </w:rPr>
        <w:t>四、</w:t>
      </w:r>
      <w:r>
        <w:t xml:space="preserve">经费预算 </w:t>
      </w:r>
    </w:p>
    <w:tbl>
      <w:tblPr>
        <w:tblStyle w:val="6"/>
        <w:tblW w:w="8326" w:type="dxa"/>
        <w:tblInd w:w="0" w:type="dxa"/>
        <w:tblLayout w:type="fixed"/>
        <w:tblCellMar>
          <w:top w:w="0" w:type="dxa"/>
          <w:left w:w="108" w:type="dxa"/>
          <w:bottom w:w="0" w:type="dxa"/>
          <w:right w:w="108" w:type="dxa"/>
        </w:tblCellMar>
      </w:tblPr>
      <w:tblGrid>
        <w:gridCol w:w="2843"/>
        <w:gridCol w:w="1702"/>
        <w:gridCol w:w="981"/>
        <w:gridCol w:w="982"/>
        <w:gridCol w:w="1818"/>
      </w:tblGrid>
      <w:tr w14:paraId="6B59F2DF">
        <w:tblPrEx>
          <w:tblCellMar>
            <w:top w:w="0" w:type="dxa"/>
            <w:left w:w="108" w:type="dxa"/>
            <w:bottom w:w="0" w:type="dxa"/>
            <w:right w:w="108" w:type="dxa"/>
          </w:tblCellMar>
        </w:tblPrEx>
        <w:trPr>
          <w:tblHeader/>
        </w:trPr>
        <w:tc>
          <w:tcPr>
            <w:tcW w:w="2843" w:type="dxa"/>
            <w:vMerge w:val="restart"/>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632F6DC6">
            <w:pPr>
              <w:pStyle w:val="14"/>
              <w:widowControl/>
            </w:pPr>
            <w:r>
              <w:rPr>
                <w:rFonts w:hint="eastAsia" w:cs="宋体"/>
              </w:rPr>
              <w:t>开支科目</w:t>
            </w:r>
            <w:r>
              <w:t xml:space="preserve"> </w:t>
            </w:r>
          </w:p>
        </w:tc>
        <w:tc>
          <w:tcPr>
            <w:tcW w:w="1702" w:type="dxa"/>
            <w:vMerge w:val="restart"/>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44F378FF">
            <w:pPr>
              <w:pStyle w:val="14"/>
              <w:widowControl/>
            </w:pPr>
            <w:r>
              <w:rPr>
                <w:rFonts w:hint="eastAsia" w:cs="宋体"/>
              </w:rPr>
              <w:t>预算经费（元）</w:t>
            </w:r>
            <w:r>
              <w:t xml:space="preserve"> </w:t>
            </w:r>
          </w:p>
        </w:tc>
        <w:tc>
          <w:tcPr>
            <w:tcW w:w="981" w:type="dxa"/>
            <w:vMerge w:val="restart"/>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332B3713">
            <w:pPr>
              <w:pStyle w:val="14"/>
              <w:widowControl/>
            </w:pPr>
            <w:r>
              <w:rPr>
                <w:rFonts w:hint="eastAsia" w:cs="宋体"/>
              </w:rPr>
              <w:t>主要用途</w:t>
            </w:r>
            <w:r>
              <w:t xml:space="preserve"> </w:t>
            </w:r>
          </w:p>
        </w:tc>
        <w:tc>
          <w:tcPr>
            <w:tcW w:w="2800" w:type="dxa"/>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531FE2F7">
            <w:pPr>
              <w:pStyle w:val="14"/>
              <w:widowControl/>
            </w:pPr>
            <w:r>
              <w:rPr>
                <w:rFonts w:hint="eastAsia" w:cs="宋体"/>
              </w:rPr>
              <w:t>阶段下达经费计划（元）</w:t>
            </w:r>
            <w:r>
              <w:t xml:space="preserve"> </w:t>
            </w:r>
          </w:p>
        </w:tc>
      </w:tr>
      <w:tr w14:paraId="2CD2F864">
        <w:tblPrEx>
          <w:tblCellMar>
            <w:top w:w="0" w:type="dxa"/>
            <w:left w:w="108" w:type="dxa"/>
            <w:bottom w:w="0" w:type="dxa"/>
            <w:right w:w="108" w:type="dxa"/>
          </w:tblCellMar>
        </w:tblPrEx>
        <w:trPr>
          <w:tblHeader/>
        </w:trPr>
        <w:tc>
          <w:tcPr>
            <w:tcW w:w="2843" w:type="dxa"/>
            <w:vMerge w:val="continue"/>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0DB4DEAD">
            <w:pPr>
              <w:rPr>
                <w:rFonts w:ascii="等线" w:hAnsi="等线" w:eastAsia="等线" w:cs="等线"/>
              </w:rPr>
            </w:pPr>
          </w:p>
        </w:tc>
        <w:tc>
          <w:tcPr>
            <w:tcW w:w="1702" w:type="dxa"/>
            <w:vMerge w:val="continue"/>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3090066B">
            <w:pPr>
              <w:rPr>
                <w:rFonts w:ascii="等线" w:hAnsi="等线" w:eastAsia="等线" w:cs="等线"/>
              </w:rPr>
            </w:pPr>
          </w:p>
        </w:tc>
        <w:tc>
          <w:tcPr>
            <w:tcW w:w="981" w:type="dxa"/>
            <w:vMerge w:val="continue"/>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7933A7B7">
            <w:pPr>
              <w:rPr>
                <w:rFonts w:ascii="等线" w:hAnsi="等线" w:eastAsia="等线" w:cs="等线"/>
              </w:rPr>
            </w:pPr>
          </w:p>
        </w:tc>
        <w:tc>
          <w:tcPr>
            <w:tcW w:w="982" w:type="dxa"/>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0356B735">
            <w:pPr>
              <w:pStyle w:val="14"/>
              <w:widowControl/>
            </w:pPr>
            <w:r>
              <w:rPr>
                <w:rFonts w:hint="eastAsia" w:cs="宋体"/>
              </w:rPr>
              <w:t>前半阶段</w:t>
            </w:r>
          </w:p>
        </w:tc>
        <w:tc>
          <w:tcPr>
            <w:tcW w:w="1818" w:type="dxa"/>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42C22494">
            <w:pPr>
              <w:pStyle w:val="14"/>
              <w:widowControl/>
            </w:pPr>
            <w:r>
              <w:rPr>
                <w:rFonts w:hint="eastAsia" w:cs="宋体"/>
              </w:rPr>
              <w:t>后半阶段</w:t>
            </w:r>
          </w:p>
        </w:tc>
      </w:tr>
      <w:tr w14:paraId="7EDBD499">
        <w:tblPrEx>
          <w:tblCellMar>
            <w:top w:w="0" w:type="dxa"/>
            <w:left w:w="108" w:type="dxa"/>
            <w:bottom w:w="0" w:type="dxa"/>
            <w:right w:w="108" w:type="dxa"/>
          </w:tblCellMar>
        </w:tblPrEx>
        <w:tc>
          <w:tcPr>
            <w:tcW w:w="2843"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74C7C290">
            <w:pPr>
              <w:pStyle w:val="14"/>
              <w:widowControl/>
            </w:pPr>
            <w:r>
              <w:rPr>
                <w:rFonts w:hint="eastAsia" w:cs="宋体"/>
              </w:rPr>
              <w:t>预算经费总额</w:t>
            </w:r>
            <w:r>
              <w:t xml:space="preserve"> </w:t>
            </w:r>
          </w:p>
        </w:tc>
        <w:tc>
          <w:tcPr>
            <w:tcW w:w="170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38A97379">
            <w:pPr>
              <w:pStyle w:val="14"/>
              <w:widowControl/>
            </w:pPr>
            <w:r>
              <w:t xml:space="preserve">3000.00 </w:t>
            </w:r>
          </w:p>
        </w:tc>
        <w:tc>
          <w:tcPr>
            <w:tcW w:w="981"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68BF1CD4">
            <w:pPr>
              <w:pStyle w:val="14"/>
              <w:widowControl/>
            </w:pPr>
            <w:r>
              <w:rPr>
                <w:rFonts w:hint="eastAsia" w:cs="宋体"/>
              </w:rPr>
              <w:t>无</w:t>
            </w:r>
            <w:r>
              <w:t xml:space="preserve"> </w:t>
            </w:r>
          </w:p>
        </w:tc>
        <w:tc>
          <w:tcPr>
            <w:tcW w:w="98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5224556B">
            <w:pPr>
              <w:pStyle w:val="14"/>
              <w:widowControl/>
            </w:pPr>
            <w:r>
              <w:t xml:space="preserve">0.00 </w:t>
            </w:r>
          </w:p>
        </w:tc>
        <w:tc>
          <w:tcPr>
            <w:tcW w:w="1818"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75A97E0B">
            <w:pPr>
              <w:pStyle w:val="14"/>
              <w:widowControl/>
            </w:pPr>
            <w:r>
              <w:rPr>
                <w:rFonts w:hint="eastAsia"/>
                <w:lang w:val="en-US" w:eastAsia="zh-CN"/>
              </w:rPr>
              <w:t>3</w:t>
            </w:r>
            <w:r>
              <w:t xml:space="preserve">000.00 </w:t>
            </w:r>
          </w:p>
        </w:tc>
      </w:tr>
      <w:tr w14:paraId="6904777F">
        <w:tblPrEx>
          <w:tblCellMar>
            <w:top w:w="0" w:type="dxa"/>
            <w:left w:w="108" w:type="dxa"/>
            <w:bottom w:w="0" w:type="dxa"/>
            <w:right w:w="108" w:type="dxa"/>
          </w:tblCellMar>
        </w:tblPrEx>
        <w:tc>
          <w:tcPr>
            <w:tcW w:w="2843"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15691D6D">
            <w:pPr>
              <w:pStyle w:val="14"/>
              <w:widowControl/>
            </w:pPr>
            <w:r>
              <w:t xml:space="preserve">1. </w:t>
            </w:r>
            <w:r>
              <w:rPr>
                <w:rFonts w:hint="eastAsia" w:cs="宋体"/>
              </w:rPr>
              <w:t>业务费</w:t>
            </w:r>
            <w:r>
              <w:t xml:space="preserve"> </w:t>
            </w:r>
          </w:p>
        </w:tc>
        <w:tc>
          <w:tcPr>
            <w:tcW w:w="170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11D8E909">
            <w:pPr>
              <w:pStyle w:val="14"/>
              <w:widowControl/>
            </w:pPr>
            <w:r>
              <w:rPr>
                <w:rFonts w:hint="eastAsia"/>
                <w:lang w:val="en-US" w:eastAsia="zh-CN"/>
              </w:rPr>
              <w:t>300</w:t>
            </w:r>
            <w:r>
              <w:t xml:space="preserve">0.00 </w:t>
            </w:r>
          </w:p>
        </w:tc>
        <w:tc>
          <w:tcPr>
            <w:tcW w:w="981"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4682FAB9">
            <w:pPr>
              <w:pStyle w:val="14"/>
              <w:widowControl/>
            </w:pPr>
            <w:r>
              <w:rPr>
                <w:rFonts w:hint="eastAsia" w:cs="宋体"/>
              </w:rPr>
              <w:t>无</w:t>
            </w:r>
            <w:r>
              <w:t xml:space="preserve"> </w:t>
            </w:r>
          </w:p>
        </w:tc>
        <w:tc>
          <w:tcPr>
            <w:tcW w:w="98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17A8E544">
            <w:pPr>
              <w:pStyle w:val="14"/>
              <w:widowControl/>
            </w:pPr>
            <w:r>
              <w:t xml:space="preserve">0.00 </w:t>
            </w:r>
          </w:p>
        </w:tc>
        <w:tc>
          <w:tcPr>
            <w:tcW w:w="1818"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5C8FDAD1">
            <w:pPr>
              <w:pStyle w:val="14"/>
              <w:widowControl/>
            </w:pPr>
            <w:r>
              <w:t xml:space="preserve">0.00 </w:t>
            </w:r>
          </w:p>
        </w:tc>
      </w:tr>
      <w:tr w14:paraId="4E1CA2FF">
        <w:tblPrEx>
          <w:tblCellMar>
            <w:top w:w="0" w:type="dxa"/>
            <w:left w:w="108" w:type="dxa"/>
            <w:bottom w:w="0" w:type="dxa"/>
            <w:right w:w="108" w:type="dxa"/>
          </w:tblCellMar>
        </w:tblPrEx>
        <w:tc>
          <w:tcPr>
            <w:tcW w:w="2843"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06608A35">
            <w:pPr>
              <w:pStyle w:val="14"/>
              <w:widowControl/>
            </w:pPr>
            <w:r>
              <w:rPr>
                <w:rFonts w:hint="eastAsia" w:cs="宋体"/>
              </w:rPr>
              <w:t>（</w:t>
            </w:r>
            <w:r>
              <w:t>1</w:t>
            </w:r>
            <w:r>
              <w:rPr>
                <w:rFonts w:hint="eastAsia" w:cs="宋体"/>
              </w:rPr>
              <w:t>）计算、分析、测试费</w:t>
            </w:r>
            <w:r>
              <w:t xml:space="preserve"> </w:t>
            </w:r>
          </w:p>
        </w:tc>
        <w:tc>
          <w:tcPr>
            <w:tcW w:w="170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655AADD2">
            <w:pPr>
              <w:pStyle w:val="14"/>
              <w:widowControl/>
            </w:pPr>
            <w:r>
              <w:t xml:space="preserve">0.00 </w:t>
            </w:r>
          </w:p>
        </w:tc>
        <w:tc>
          <w:tcPr>
            <w:tcW w:w="981"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09D23EC2">
            <w:pPr>
              <w:pStyle w:val="14"/>
              <w:widowControl/>
            </w:pPr>
            <w:r>
              <w:rPr>
                <w:rFonts w:hint="eastAsia" w:cs="宋体"/>
              </w:rPr>
              <w:t>无</w:t>
            </w:r>
            <w:r>
              <w:t xml:space="preserve"> </w:t>
            </w:r>
          </w:p>
        </w:tc>
        <w:tc>
          <w:tcPr>
            <w:tcW w:w="98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3F96DB95">
            <w:pPr>
              <w:pStyle w:val="14"/>
              <w:widowControl/>
            </w:pPr>
            <w:r>
              <w:t xml:space="preserve">0.00 </w:t>
            </w:r>
          </w:p>
        </w:tc>
        <w:tc>
          <w:tcPr>
            <w:tcW w:w="1818"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61262EA2">
            <w:pPr>
              <w:pStyle w:val="14"/>
              <w:widowControl/>
            </w:pPr>
            <w:r>
              <w:t xml:space="preserve">0.00 </w:t>
            </w:r>
          </w:p>
        </w:tc>
      </w:tr>
      <w:tr w14:paraId="55EB3D2A">
        <w:tblPrEx>
          <w:tblCellMar>
            <w:top w:w="0" w:type="dxa"/>
            <w:left w:w="108" w:type="dxa"/>
            <w:bottom w:w="0" w:type="dxa"/>
            <w:right w:w="108" w:type="dxa"/>
          </w:tblCellMar>
        </w:tblPrEx>
        <w:tc>
          <w:tcPr>
            <w:tcW w:w="2843"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48DA1258">
            <w:pPr>
              <w:pStyle w:val="14"/>
              <w:widowControl/>
            </w:pPr>
            <w:r>
              <w:rPr>
                <w:rFonts w:hint="eastAsia" w:cs="宋体"/>
              </w:rPr>
              <w:t>（</w:t>
            </w:r>
            <w:r>
              <w:t>2</w:t>
            </w:r>
            <w:r>
              <w:rPr>
                <w:rFonts w:hint="eastAsia" w:cs="宋体"/>
              </w:rPr>
              <w:t>）能源动力费</w:t>
            </w:r>
            <w:r>
              <w:t xml:space="preserve"> </w:t>
            </w:r>
          </w:p>
        </w:tc>
        <w:tc>
          <w:tcPr>
            <w:tcW w:w="170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1D67FC64">
            <w:pPr>
              <w:pStyle w:val="14"/>
              <w:widowControl/>
            </w:pPr>
            <w:r>
              <w:t xml:space="preserve">0.00 </w:t>
            </w:r>
          </w:p>
        </w:tc>
        <w:tc>
          <w:tcPr>
            <w:tcW w:w="981"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70AAC203">
            <w:pPr>
              <w:pStyle w:val="14"/>
              <w:widowControl/>
            </w:pPr>
            <w:r>
              <w:rPr>
                <w:rFonts w:hint="eastAsia" w:cs="宋体"/>
              </w:rPr>
              <w:t>无</w:t>
            </w:r>
            <w:r>
              <w:t xml:space="preserve"> </w:t>
            </w:r>
          </w:p>
        </w:tc>
        <w:tc>
          <w:tcPr>
            <w:tcW w:w="98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4AFAC7B1">
            <w:pPr>
              <w:pStyle w:val="14"/>
              <w:widowControl/>
            </w:pPr>
            <w:r>
              <w:t xml:space="preserve">0.00 </w:t>
            </w:r>
          </w:p>
        </w:tc>
        <w:tc>
          <w:tcPr>
            <w:tcW w:w="1818"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4D01EB50">
            <w:pPr>
              <w:pStyle w:val="14"/>
              <w:widowControl/>
            </w:pPr>
            <w:r>
              <w:t xml:space="preserve">0.00 </w:t>
            </w:r>
          </w:p>
        </w:tc>
      </w:tr>
      <w:tr w14:paraId="79ABCE15">
        <w:tblPrEx>
          <w:tblCellMar>
            <w:top w:w="0" w:type="dxa"/>
            <w:left w:w="108" w:type="dxa"/>
            <w:bottom w:w="0" w:type="dxa"/>
            <w:right w:w="108" w:type="dxa"/>
          </w:tblCellMar>
        </w:tblPrEx>
        <w:tc>
          <w:tcPr>
            <w:tcW w:w="2843"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60E5E61D">
            <w:pPr>
              <w:pStyle w:val="14"/>
              <w:widowControl/>
            </w:pPr>
            <w:r>
              <w:rPr>
                <w:rFonts w:hint="eastAsia" w:cs="宋体"/>
              </w:rPr>
              <w:t>（</w:t>
            </w:r>
            <w:r>
              <w:t>3</w:t>
            </w:r>
            <w:r>
              <w:rPr>
                <w:rFonts w:hint="eastAsia" w:cs="宋体"/>
              </w:rPr>
              <w:t>）会议、差旅费</w:t>
            </w:r>
            <w:r>
              <w:t xml:space="preserve"> </w:t>
            </w:r>
          </w:p>
        </w:tc>
        <w:tc>
          <w:tcPr>
            <w:tcW w:w="170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5A3CC6C5">
            <w:pPr>
              <w:pStyle w:val="14"/>
              <w:widowControl/>
            </w:pPr>
            <w:r>
              <w:t xml:space="preserve">0.00 </w:t>
            </w:r>
          </w:p>
        </w:tc>
        <w:tc>
          <w:tcPr>
            <w:tcW w:w="981"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3E6AE913">
            <w:pPr>
              <w:pStyle w:val="14"/>
              <w:widowControl/>
            </w:pPr>
            <w:r>
              <w:rPr>
                <w:rFonts w:hint="eastAsia" w:cs="宋体"/>
              </w:rPr>
              <w:t>无</w:t>
            </w:r>
            <w:r>
              <w:t xml:space="preserve"> </w:t>
            </w:r>
          </w:p>
        </w:tc>
        <w:tc>
          <w:tcPr>
            <w:tcW w:w="98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022978A6">
            <w:pPr>
              <w:pStyle w:val="14"/>
              <w:widowControl/>
            </w:pPr>
            <w:r>
              <w:t xml:space="preserve">0.00 </w:t>
            </w:r>
          </w:p>
        </w:tc>
        <w:tc>
          <w:tcPr>
            <w:tcW w:w="1818"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7ED9AF21">
            <w:pPr>
              <w:pStyle w:val="14"/>
              <w:widowControl/>
            </w:pPr>
            <w:r>
              <w:t xml:space="preserve">0.00 </w:t>
            </w:r>
          </w:p>
        </w:tc>
      </w:tr>
      <w:tr w14:paraId="0A3B0D45">
        <w:tblPrEx>
          <w:tblCellMar>
            <w:top w:w="0" w:type="dxa"/>
            <w:left w:w="108" w:type="dxa"/>
            <w:bottom w:w="0" w:type="dxa"/>
            <w:right w:w="108" w:type="dxa"/>
          </w:tblCellMar>
        </w:tblPrEx>
        <w:tc>
          <w:tcPr>
            <w:tcW w:w="2843"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295DCEF1">
            <w:pPr>
              <w:pStyle w:val="14"/>
              <w:widowControl/>
            </w:pPr>
            <w:r>
              <w:rPr>
                <w:rFonts w:hint="eastAsia" w:cs="宋体"/>
              </w:rPr>
              <w:t>（</w:t>
            </w:r>
            <w:r>
              <w:t>4</w:t>
            </w:r>
            <w:r>
              <w:rPr>
                <w:rFonts w:hint="eastAsia" w:cs="宋体"/>
              </w:rPr>
              <w:t>）文献检索费</w:t>
            </w:r>
            <w:r>
              <w:t xml:space="preserve"> </w:t>
            </w:r>
          </w:p>
        </w:tc>
        <w:tc>
          <w:tcPr>
            <w:tcW w:w="170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31427614">
            <w:pPr>
              <w:pStyle w:val="14"/>
              <w:widowControl/>
            </w:pPr>
            <w:r>
              <w:t xml:space="preserve">0.00 </w:t>
            </w:r>
          </w:p>
        </w:tc>
        <w:tc>
          <w:tcPr>
            <w:tcW w:w="981"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073B65D6">
            <w:pPr>
              <w:pStyle w:val="14"/>
              <w:widowControl/>
            </w:pPr>
            <w:r>
              <w:rPr>
                <w:rFonts w:hint="eastAsia" w:cs="宋体"/>
              </w:rPr>
              <w:t>无</w:t>
            </w:r>
            <w:r>
              <w:t xml:space="preserve"> </w:t>
            </w:r>
          </w:p>
        </w:tc>
        <w:tc>
          <w:tcPr>
            <w:tcW w:w="98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35D1F646">
            <w:pPr>
              <w:pStyle w:val="14"/>
              <w:widowControl/>
            </w:pPr>
            <w:r>
              <w:t xml:space="preserve">0.00 </w:t>
            </w:r>
          </w:p>
        </w:tc>
        <w:tc>
          <w:tcPr>
            <w:tcW w:w="1818"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1D06E579">
            <w:pPr>
              <w:pStyle w:val="14"/>
              <w:widowControl/>
            </w:pPr>
            <w:r>
              <w:t xml:space="preserve">0.00 </w:t>
            </w:r>
          </w:p>
        </w:tc>
      </w:tr>
      <w:tr w14:paraId="795AA66F">
        <w:tblPrEx>
          <w:tblCellMar>
            <w:top w:w="0" w:type="dxa"/>
            <w:left w:w="108" w:type="dxa"/>
            <w:bottom w:w="0" w:type="dxa"/>
            <w:right w:w="108" w:type="dxa"/>
          </w:tblCellMar>
        </w:tblPrEx>
        <w:tc>
          <w:tcPr>
            <w:tcW w:w="2843"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0DBF5A1A">
            <w:pPr>
              <w:pStyle w:val="14"/>
              <w:widowControl/>
            </w:pPr>
            <w:r>
              <w:rPr>
                <w:rFonts w:hint="eastAsia" w:cs="宋体"/>
              </w:rPr>
              <w:t>（</w:t>
            </w:r>
            <w:r>
              <w:t>5</w:t>
            </w:r>
            <w:r>
              <w:rPr>
                <w:rFonts w:hint="eastAsia" w:cs="宋体"/>
              </w:rPr>
              <w:t>）论文出版费</w:t>
            </w:r>
            <w:r>
              <w:t xml:space="preserve"> </w:t>
            </w:r>
          </w:p>
        </w:tc>
        <w:tc>
          <w:tcPr>
            <w:tcW w:w="170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7352CC0A">
            <w:pPr>
              <w:pStyle w:val="14"/>
              <w:widowControl/>
            </w:pPr>
            <w:r>
              <w:rPr>
                <w:rFonts w:hint="eastAsia"/>
                <w:lang w:val="en-US" w:eastAsia="zh-CN"/>
              </w:rPr>
              <w:t>300</w:t>
            </w:r>
            <w:r>
              <w:t xml:space="preserve">0.00 </w:t>
            </w:r>
          </w:p>
        </w:tc>
        <w:tc>
          <w:tcPr>
            <w:tcW w:w="981"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4B03FCD9">
            <w:pPr>
              <w:pStyle w:val="14"/>
              <w:widowControl/>
            </w:pPr>
            <w:r>
              <w:rPr>
                <w:rFonts w:hint="eastAsia" w:cs="宋体"/>
              </w:rPr>
              <w:t>无</w:t>
            </w:r>
            <w:r>
              <w:t xml:space="preserve"> </w:t>
            </w:r>
          </w:p>
        </w:tc>
        <w:tc>
          <w:tcPr>
            <w:tcW w:w="98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4019B867">
            <w:pPr>
              <w:pStyle w:val="14"/>
              <w:widowControl/>
            </w:pPr>
            <w:r>
              <w:t xml:space="preserve">0.00 </w:t>
            </w:r>
          </w:p>
        </w:tc>
        <w:tc>
          <w:tcPr>
            <w:tcW w:w="1818"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341FBE13">
            <w:pPr>
              <w:pStyle w:val="14"/>
              <w:widowControl/>
            </w:pPr>
            <w:r>
              <w:rPr>
                <w:rFonts w:hint="eastAsia"/>
                <w:lang w:val="en-US" w:eastAsia="zh-CN"/>
              </w:rPr>
              <w:t>300</w:t>
            </w:r>
            <w:r>
              <w:t xml:space="preserve">0.00 </w:t>
            </w:r>
          </w:p>
        </w:tc>
      </w:tr>
      <w:tr w14:paraId="4BDDC7BE">
        <w:tblPrEx>
          <w:tblCellMar>
            <w:top w:w="0" w:type="dxa"/>
            <w:left w:w="108" w:type="dxa"/>
            <w:bottom w:w="0" w:type="dxa"/>
            <w:right w:w="108" w:type="dxa"/>
          </w:tblCellMar>
        </w:tblPrEx>
        <w:tc>
          <w:tcPr>
            <w:tcW w:w="2843"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1EEF9A9C">
            <w:pPr>
              <w:pStyle w:val="14"/>
              <w:widowControl/>
            </w:pPr>
            <w:r>
              <w:t xml:space="preserve">2. </w:t>
            </w:r>
            <w:r>
              <w:rPr>
                <w:rFonts w:hint="eastAsia" w:cs="宋体"/>
              </w:rPr>
              <w:t>仪器设备购置费</w:t>
            </w:r>
            <w:r>
              <w:t xml:space="preserve"> </w:t>
            </w:r>
          </w:p>
        </w:tc>
        <w:tc>
          <w:tcPr>
            <w:tcW w:w="170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62EB33E0">
            <w:pPr>
              <w:pStyle w:val="14"/>
              <w:widowControl/>
            </w:pPr>
            <w:r>
              <w:t xml:space="preserve">0.00 </w:t>
            </w:r>
          </w:p>
        </w:tc>
        <w:tc>
          <w:tcPr>
            <w:tcW w:w="981"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2AF2C6C4">
            <w:pPr>
              <w:pStyle w:val="14"/>
              <w:widowControl/>
            </w:pPr>
            <w:r>
              <w:rPr>
                <w:rFonts w:hint="eastAsia" w:cs="宋体"/>
              </w:rPr>
              <w:t>无</w:t>
            </w:r>
            <w:r>
              <w:t xml:space="preserve"> </w:t>
            </w:r>
          </w:p>
        </w:tc>
        <w:tc>
          <w:tcPr>
            <w:tcW w:w="98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549FC07F">
            <w:pPr>
              <w:pStyle w:val="14"/>
              <w:widowControl/>
            </w:pPr>
            <w:r>
              <w:t xml:space="preserve">0.00 </w:t>
            </w:r>
          </w:p>
        </w:tc>
        <w:tc>
          <w:tcPr>
            <w:tcW w:w="1818"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07743A33">
            <w:pPr>
              <w:pStyle w:val="14"/>
              <w:widowControl/>
            </w:pPr>
            <w:r>
              <w:t xml:space="preserve">0.00 </w:t>
            </w:r>
          </w:p>
        </w:tc>
      </w:tr>
      <w:tr w14:paraId="43CEC2C3">
        <w:tblPrEx>
          <w:tblCellMar>
            <w:top w:w="0" w:type="dxa"/>
            <w:left w:w="108" w:type="dxa"/>
            <w:bottom w:w="0" w:type="dxa"/>
            <w:right w:w="108" w:type="dxa"/>
          </w:tblCellMar>
        </w:tblPrEx>
        <w:tc>
          <w:tcPr>
            <w:tcW w:w="2843"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4ADAC95A">
            <w:pPr>
              <w:pStyle w:val="14"/>
              <w:widowControl/>
            </w:pPr>
            <w:r>
              <w:t xml:space="preserve">3. </w:t>
            </w:r>
            <w:r>
              <w:rPr>
                <w:rFonts w:hint="eastAsia" w:cs="宋体"/>
              </w:rPr>
              <w:t>实验装置试制费</w:t>
            </w:r>
            <w:r>
              <w:t xml:space="preserve"> </w:t>
            </w:r>
          </w:p>
        </w:tc>
        <w:tc>
          <w:tcPr>
            <w:tcW w:w="170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510A7BC0">
            <w:pPr>
              <w:pStyle w:val="14"/>
              <w:widowControl/>
            </w:pPr>
            <w:r>
              <w:t xml:space="preserve">0.00 </w:t>
            </w:r>
          </w:p>
        </w:tc>
        <w:tc>
          <w:tcPr>
            <w:tcW w:w="981"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3A19379E">
            <w:pPr>
              <w:pStyle w:val="14"/>
              <w:widowControl/>
            </w:pPr>
            <w:r>
              <w:rPr>
                <w:rFonts w:hint="eastAsia" w:cs="宋体"/>
              </w:rPr>
              <w:t>无</w:t>
            </w:r>
            <w:r>
              <w:t xml:space="preserve"> </w:t>
            </w:r>
          </w:p>
        </w:tc>
        <w:tc>
          <w:tcPr>
            <w:tcW w:w="98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7C3804AF">
            <w:pPr>
              <w:pStyle w:val="14"/>
              <w:widowControl/>
            </w:pPr>
            <w:r>
              <w:t xml:space="preserve">0.00 </w:t>
            </w:r>
          </w:p>
        </w:tc>
        <w:tc>
          <w:tcPr>
            <w:tcW w:w="1818"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699237E6">
            <w:pPr>
              <w:pStyle w:val="14"/>
              <w:widowControl/>
            </w:pPr>
            <w:r>
              <w:t xml:space="preserve">0.00 </w:t>
            </w:r>
          </w:p>
        </w:tc>
      </w:tr>
      <w:tr w14:paraId="4E16D6AB">
        <w:tblPrEx>
          <w:tblCellMar>
            <w:top w:w="0" w:type="dxa"/>
            <w:left w:w="108" w:type="dxa"/>
            <w:bottom w:w="0" w:type="dxa"/>
            <w:right w:w="108" w:type="dxa"/>
          </w:tblCellMar>
        </w:tblPrEx>
        <w:tc>
          <w:tcPr>
            <w:tcW w:w="2843"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5A9FC97A">
            <w:pPr>
              <w:pStyle w:val="14"/>
              <w:widowControl/>
            </w:pPr>
            <w:r>
              <w:t xml:space="preserve">4. </w:t>
            </w:r>
            <w:r>
              <w:rPr>
                <w:rFonts w:hint="eastAsia" w:cs="宋体"/>
              </w:rPr>
              <w:t>材料费</w:t>
            </w:r>
            <w:r>
              <w:t xml:space="preserve"> </w:t>
            </w:r>
          </w:p>
        </w:tc>
        <w:tc>
          <w:tcPr>
            <w:tcW w:w="170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70CFAC63">
            <w:pPr>
              <w:pStyle w:val="14"/>
              <w:widowControl/>
            </w:pPr>
            <w:r>
              <w:t xml:space="preserve">0.00 </w:t>
            </w:r>
          </w:p>
        </w:tc>
        <w:tc>
          <w:tcPr>
            <w:tcW w:w="981"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23967192">
            <w:pPr>
              <w:pStyle w:val="14"/>
              <w:widowControl/>
            </w:pPr>
            <w:r>
              <w:rPr>
                <w:rFonts w:hint="eastAsia" w:cs="宋体"/>
              </w:rPr>
              <w:t>无</w:t>
            </w:r>
            <w:r>
              <w:t xml:space="preserve"> </w:t>
            </w:r>
          </w:p>
        </w:tc>
        <w:tc>
          <w:tcPr>
            <w:tcW w:w="982"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74BFF5B8">
            <w:pPr>
              <w:pStyle w:val="14"/>
              <w:widowControl/>
            </w:pPr>
            <w:r>
              <w:t xml:space="preserve">0.00 </w:t>
            </w:r>
          </w:p>
        </w:tc>
        <w:tc>
          <w:tcPr>
            <w:tcW w:w="1818" w:type="dxa"/>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22B03006">
            <w:pPr>
              <w:pStyle w:val="14"/>
              <w:widowControl/>
            </w:pPr>
            <w:r>
              <w:t xml:space="preserve">0.00 </w:t>
            </w:r>
          </w:p>
        </w:tc>
      </w:tr>
    </w:tbl>
    <w:p w14:paraId="21100186"/>
    <w:p w14:paraId="406A078D">
      <w:pPr>
        <w:pStyle w:val="2"/>
      </w:pPr>
      <w:r>
        <w:rPr>
          <w:rFonts w:hint="eastAsia"/>
        </w:rPr>
        <w:t>五、</w:t>
      </w:r>
      <w:r>
        <w:t xml:space="preserve">上传附件 </w:t>
      </w:r>
    </w:p>
    <w:p w14:paraId="5BA9557E">
      <w:pPr>
        <w:snapToGrid w:val="0"/>
        <w:spacing w:line="360" w:lineRule="auto"/>
      </w:pPr>
      <w:bookmarkStart w:id="0" w:name="_Hlk89344087"/>
      <w:r>
        <w:rPr>
          <w:rFonts w:hint="eastAsia" w:ascii="Times New Roman" w:hAnsi="Times New Roman" w:eastAsia="宋体" w:cs="宋体"/>
          <w:sz w:val="24"/>
          <w:lang w:bidi="ar"/>
        </w:rPr>
        <w:t>本文件将作为附件上传</w:t>
      </w:r>
      <w:bookmarkEnd w:id="0"/>
      <w:r>
        <w:rPr>
          <w:rFonts w:ascii="Times New Roman" w:hAnsi="Times New Roman" w:eastAsia="宋体" w:cs="宋体"/>
          <w:sz w:val="24"/>
          <w:lang w:bidi="ar"/>
        </w:rPr>
        <w:t>。</w:t>
      </w:r>
    </w:p>
    <w:p w14:paraId="3C7008E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9B4"/>
    <w:rsid w:val="00023BDE"/>
    <w:rsid w:val="00181708"/>
    <w:rsid w:val="001C47D7"/>
    <w:rsid w:val="002B6B2F"/>
    <w:rsid w:val="00343965"/>
    <w:rsid w:val="00353EE1"/>
    <w:rsid w:val="0040174D"/>
    <w:rsid w:val="004B07F2"/>
    <w:rsid w:val="005552DB"/>
    <w:rsid w:val="00652641"/>
    <w:rsid w:val="006D2DD6"/>
    <w:rsid w:val="006F59B4"/>
    <w:rsid w:val="008D7013"/>
    <w:rsid w:val="00931953"/>
    <w:rsid w:val="00953726"/>
    <w:rsid w:val="00973D26"/>
    <w:rsid w:val="00A23C89"/>
    <w:rsid w:val="00A562C7"/>
    <w:rsid w:val="00B70E45"/>
    <w:rsid w:val="00B7122B"/>
    <w:rsid w:val="00CF40E6"/>
    <w:rsid w:val="00E9182A"/>
    <w:rsid w:val="00F23157"/>
    <w:rsid w:val="0923495F"/>
    <w:rsid w:val="1BFFFFE9"/>
    <w:rsid w:val="1CB1467D"/>
    <w:rsid w:val="29FE20BB"/>
    <w:rsid w:val="2FCFC8E9"/>
    <w:rsid w:val="2FDF8DED"/>
    <w:rsid w:val="2FDFDAF6"/>
    <w:rsid w:val="35EFB896"/>
    <w:rsid w:val="37DFF4DB"/>
    <w:rsid w:val="3E3356B1"/>
    <w:rsid w:val="3FFAD647"/>
    <w:rsid w:val="4BC73FD6"/>
    <w:rsid w:val="4FFBFA37"/>
    <w:rsid w:val="53FF3532"/>
    <w:rsid w:val="578B8828"/>
    <w:rsid w:val="5B4D4BEA"/>
    <w:rsid w:val="5E7AED56"/>
    <w:rsid w:val="6487E7BE"/>
    <w:rsid w:val="65F311DA"/>
    <w:rsid w:val="6ABDFA47"/>
    <w:rsid w:val="6AFFE09C"/>
    <w:rsid w:val="6BF5A648"/>
    <w:rsid w:val="6BF7C97A"/>
    <w:rsid w:val="6F6FEFEF"/>
    <w:rsid w:val="6FB8D035"/>
    <w:rsid w:val="6FD769D0"/>
    <w:rsid w:val="6FFFD8E6"/>
    <w:rsid w:val="73772DF0"/>
    <w:rsid w:val="767C657F"/>
    <w:rsid w:val="77DF0212"/>
    <w:rsid w:val="77FC5BB4"/>
    <w:rsid w:val="77FD092C"/>
    <w:rsid w:val="78ED45A9"/>
    <w:rsid w:val="79F3F3D9"/>
    <w:rsid w:val="7BBDDCF9"/>
    <w:rsid w:val="7BF69037"/>
    <w:rsid w:val="7BF7F381"/>
    <w:rsid w:val="7BFFBD8C"/>
    <w:rsid w:val="7D370C9A"/>
    <w:rsid w:val="7DFB8AD1"/>
    <w:rsid w:val="7DFDCD20"/>
    <w:rsid w:val="7E8D44BC"/>
    <w:rsid w:val="7F7CEB63"/>
    <w:rsid w:val="7FCF104C"/>
    <w:rsid w:val="7FDF38EC"/>
    <w:rsid w:val="7FDFC321"/>
    <w:rsid w:val="7FF6EE01"/>
    <w:rsid w:val="7FFD70BA"/>
    <w:rsid w:val="8FB3367E"/>
    <w:rsid w:val="8FEDCBFE"/>
    <w:rsid w:val="91BFFA82"/>
    <w:rsid w:val="96F44D25"/>
    <w:rsid w:val="ABF3AB7F"/>
    <w:rsid w:val="B37E0532"/>
    <w:rsid w:val="BA6F2D94"/>
    <w:rsid w:val="CBEFDB58"/>
    <w:rsid w:val="CD97F634"/>
    <w:rsid w:val="D4EBB459"/>
    <w:rsid w:val="DEDBFBB1"/>
    <w:rsid w:val="DEF62215"/>
    <w:rsid w:val="DFF3FA9F"/>
    <w:rsid w:val="E3FB9F10"/>
    <w:rsid w:val="E7FD80C9"/>
    <w:rsid w:val="EDFF5686"/>
    <w:rsid w:val="EF4FE97A"/>
    <w:rsid w:val="EFAF32AB"/>
    <w:rsid w:val="F2BB7FBD"/>
    <w:rsid w:val="F53B68C6"/>
    <w:rsid w:val="F62B10CA"/>
    <w:rsid w:val="F7F93A7B"/>
    <w:rsid w:val="F7FB4E20"/>
    <w:rsid w:val="F7FFDBCE"/>
    <w:rsid w:val="FBF71253"/>
    <w:rsid w:val="FCD7418B"/>
    <w:rsid w:val="FD6A1703"/>
    <w:rsid w:val="FD8FD8E0"/>
    <w:rsid w:val="FEDF2085"/>
    <w:rsid w:val="FEFF064C"/>
    <w:rsid w:val="FEFFD827"/>
    <w:rsid w:val="FF66419B"/>
    <w:rsid w:val="FF9E792A"/>
    <w:rsid w:val="FFDF36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napToGrid w:val="0"/>
      <w:spacing w:before="120" w:after="120"/>
      <w:outlineLvl w:val="0"/>
    </w:pPr>
    <w:rPr>
      <w:rFonts w:eastAsia="宋体"/>
      <w:b/>
      <w:bCs/>
      <w:kern w:val="44"/>
      <w:sz w:val="32"/>
      <w:szCs w:val="44"/>
    </w:rPr>
  </w:style>
  <w:style w:type="paragraph" w:styleId="3">
    <w:name w:val="heading 2"/>
    <w:basedOn w:val="1"/>
    <w:next w:val="1"/>
    <w:link w:val="12"/>
    <w:unhideWhenUsed/>
    <w:qFormat/>
    <w:uiPriority w:val="9"/>
    <w:pPr>
      <w:keepNext/>
      <w:keepLines/>
      <w:snapToGrid w:val="0"/>
      <w:spacing w:before="120" w:after="120"/>
      <w:outlineLvl w:val="1"/>
    </w:pPr>
    <w:rPr>
      <w:rFonts w:eastAsia="宋体" w:asciiTheme="majorHAnsi" w:hAnsiTheme="majorHAnsi" w:cstheme="majorBidi"/>
      <w:b/>
      <w:bCs/>
      <w:sz w:val="24"/>
      <w:szCs w:val="32"/>
    </w:rPr>
  </w:style>
  <w:style w:type="paragraph" w:styleId="4">
    <w:name w:val="heading 3"/>
    <w:basedOn w:val="3"/>
    <w:next w:val="1"/>
    <w:link w:val="9"/>
    <w:qFormat/>
    <w:uiPriority w:val="9"/>
    <w:pPr>
      <w:outlineLvl w:val="2"/>
    </w:pPr>
  </w:style>
  <w:style w:type="paragraph" w:styleId="5">
    <w:name w:val="heading 4"/>
    <w:basedOn w:val="1"/>
    <w:next w:val="1"/>
    <w:link w:val="10"/>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table" w:styleId="7">
    <w:name w:val="Table Grid"/>
    <w:basedOn w:val="6"/>
    <w:qFormat/>
    <w:uiPriority w:val="39"/>
    <w:rPr>
      <w:rFonts w:hint="eastAsia"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customStyle="1" w:styleId="9">
    <w:name w:val="标题 3 字符"/>
    <w:basedOn w:val="8"/>
    <w:link w:val="4"/>
    <w:qFormat/>
    <w:uiPriority w:val="9"/>
    <w:rPr>
      <w:rFonts w:eastAsia="宋体" w:asciiTheme="majorHAnsi" w:hAnsiTheme="majorHAnsi" w:cstheme="majorBidi"/>
      <w:b/>
      <w:bCs/>
      <w:sz w:val="24"/>
      <w:szCs w:val="32"/>
    </w:rPr>
  </w:style>
  <w:style w:type="character" w:customStyle="1" w:styleId="10">
    <w:name w:val="标题 4 字符"/>
    <w:basedOn w:val="8"/>
    <w:link w:val="5"/>
    <w:qFormat/>
    <w:uiPriority w:val="9"/>
    <w:rPr>
      <w:rFonts w:ascii="宋体" w:hAnsi="宋体" w:eastAsia="宋体" w:cs="宋体"/>
      <w:b/>
      <w:bCs/>
      <w:kern w:val="0"/>
      <w:sz w:val="24"/>
      <w:szCs w:val="24"/>
    </w:rPr>
  </w:style>
  <w:style w:type="character" w:customStyle="1" w:styleId="11">
    <w:name w:val="标题 1 字符"/>
    <w:basedOn w:val="8"/>
    <w:link w:val="2"/>
    <w:qFormat/>
    <w:uiPriority w:val="9"/>
    <w:rPr>
      <w:rFonts w:eastAsia="宋体"/>
      <w:b/>
      <w:bCs/>
      <w:kern w:val="44"/>
      <w:sz w:val="32"/>
      <w:szCs w:val="44"/>
    </w:rPr>
  </w:style>
  <w:style w:type="character" w:customStyle="1" w:styleId="12">
    <w:name w:val="标题 2 字符"/>
    <w:basedOn w:val="8"/>
    <w:link w:val="3"/>
    <w:qFormat/>
    <w:uiPriority w:val="9"/>
    <w:rPr>
      <w:rFonts w:eastAsia="宋体" w:asciiTheme="majorHAnsi" w:hAnsiTheme="majorHAnsi" w:cstheme="majorBidi"/>
      <w:b/>
      <w:bCs/>
      <w:sz w:val="24"/>
      <w:szCs w:val="32"/>
    </w:rPr>
  </w:style>
  <w:style w:type="paragraph" w:styleId="13">
    <w:name w:val="List Paragraph"/>
    <w:basedOn w:val="1"/>
    <w:qFormat/>
    <w:uiPriority w:val="34"/>
    <w:pPr>
      <w:ind w:firstLine="420" w:firstLineChars="200"/>
    </w:pPr>
  </w:style>
  <w:style w:type="paragraph" w:customStyle="1" w:styleId="14">
    <w:name w:val="msonospacing"/>
    <w:basedOn w:val="1"/>
    <w:qFormat/>
    <w:uiPriority w:val="0"/>
    <w:pPr>
      <w:snapToGrid w:val="0"/>
    </w:pPr>
    <w:rPr>
      <w:rFonts w:ascii="Times New Roman" w:hAnsi="Times New Roman" w:eastAsia="宋体" w:cs="Times New Roman"/>
      <w:sz w:val="24"/>
    </w:rPr>
  </w:style>
  <w:style w:type="paragraph" w:customStyle="1" w:styleId="15">
    <w:name w:val="BIT正文"/>
    <w:basedOn w:val="1"/>
    <w:qFormat/>
    <w:uiPriority w:val="0"/>
    <w:pPr>
      <w:widowControl/>
      <w:spacing w:line="360" w:lineRule="auto"/>
      <w:ind w:firstLine="200" w:firstLineChars="200"/>
      <w:jc w:val="left"/>
    </w:pPr>
    <w:rPr>
      <w:rFonts w:hint="eastAsia" w:ascii="宋体" w:hAnsi="宋体" w:eastAsia="宋体" w:cs="Times New Roman"/>
      <w:color w:val="00000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5438</Words>
  <Characters>5972</Characters>
  <Lines>6</Lines>
  <Paragraphs>1</Paragraphs>
  <TotalTime>5</TotalTime>
  <ScaleCrop>false</ScaleCrop>
  <LinksUpToDate>false</LinksUpToDate>
  <CharactersWithSpaces>6056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2021-11-29T15:27:00Z</dcterms:created>
  <dc:creator>琚 朝文</dc:creator>
  <cp:lastModifiedBy>霍一韩</cp:lastModifiedBy>
  <dcterms:modified xsi:type="dcterms:W3CDTF">2025-11-29T11:14:19Z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eyJoZGlkIjoiZTk0OGU0ZmM1MzUwMTYyOTEzYjVlZDYwMTJkMjhiMzciLCJ1c2VySWQiOiI3NzkzNTU5MTMifQ==</vt:lpwstr>
  </property>
  <property fmtid="{D5CDD505-2E9C-101B-9397-08002B2CF9AE}" pid="4" name="ICV">
    <vt:lpwstr>C6CBC8AE8400463DA12700F7DEF2D38A_12</vt:lpwstr>
  </property>
</Properties>
</file>