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3619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 cy="361950"/>
                    </a:xfrm>
                    <a:prstGeom prst="rect">
                      <a:avLst/>
                    </a:prstGeom>
                  </pic:spPr>
                </pic:pic>
              </a:graphicData>
            </a:graphic>
          </wp:inline>
        </w:drawing>
      </w:r>
    </w:p>
    <w:p>
      <w:pPr>
        <w:spacing w:after="2400"/>
      </w:pPr>
      <w:r>
        <w:rPr>
          <w:rFonts w:ascii="Geist" w:cs="Geist" w:eastAsia="Geist" w:hAnsi="Geist"/>
          <w:b/>
          <w:bCs/>
          <w:color w:val="1B1B1F"/>
          <w:spacing w:val="-6"/>
          <w:sz w:val="24"/>
          <w:szCs w:val="24"/>
        </w:rPr>
        <w:t xml:space="preserve">Scout AI Group</w:t>
      </w:r>
    </w:p>
    <w:p>
      <w:pPr>
        <w:spacing w:after="100"/>
      </w:pPr>
      <w:r>
        <w:rPr>
          <w:rFonts w:ascii="Geist" w:cs="Geist" w:eastAsia="Geist" w:hAnsi="Geist"/>
          <w:b/>
          <w:bCs/>
          <w:color w:val="6A6A75"/>
          <w:spacing w:val="40"/>
          <w:sz w:val="17"/>
          <w:szCs w:val="17"/>
        </w:rPr>
        <w:t xml:space="preserve">PROPOSAL · DRAFT FOR REVIEW</w:t>
      </w:r>
    </w:p>
    <w:p>
      <w:pPr>
        <w:spacing w:after="240"/>
      </w:pPr>
      <w:r>
        <w:rPr>
          <w:rFonts w:ascii="Geist" w:cs="Geist" w:eastAsia="Geist" w:hAnsi="Geist"/>
          <w:b/>
          <w:bCs/>
          <w:color w:val="1B1B1F"/>
          <w:spacing w:val="-30"/>
          <w:sz w:val="80"/>
          <w:szCs w:val="80"/>
        </w:rPr>
        <w:t xml:space="preserve">BCJS Operations Control System</w:t>
      </w:r>
    </w:p>
    <w:p>
      <w:pPr>
        <w:spacing w:after="400"/>
      </w:pPr>
      <w:r>
        <w:rPr>
          <w:rFonts w:ascii="Geist" w:cs="Geist" w:eastAsia="Geist" w:hAnsi="Geist"/>
          <w:color w:val="6A6A75"/>
          <w:sz w:val="28"/>
          <w:szCs w:val="28"/>
        </w:rPr>
        <w:t xml:space="preserve">One record from enquiry to final account. Native to Microsoft 365 and Xero. Prepared for Bespoke Construction &amp; Joinery Solutions Ltd.</w:t>
      </w:r>
    </w:p>
    <w:p>
      <w:pPr>
        <w:spacing w:after="500" w:before="0"/>
      </w:pPr>
      <w:r>
        <w:drawing>
          <wp:inline distT="0" distB="0" distL="0" distR="0">
            <wp:extent cx="1619250" cy="2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28575"/>
                    </a:xfrm>
                    <a:prstGeom prst="rect">
                      <a:avLst/>
                    </a:prstGeom>
                  </pic:spPr>
                </pic:pic>
              </a:graphicData>
            </a:graphic>
          </wp:inline>
        </w:drawing>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600"/>
        <w:gridCol w:w="6812"/>
      </w:tblGrid>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Client</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Bespoke Construction &amp; Joinery Solutions Ltd</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For the attention of</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Lucy Milne, Business Operations &amp; Development Manager; Emma Milne</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Prepared by</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Stuart Arthur, Scout AI Group</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Date</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 October 2026</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Reference</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SC-BCJS-001</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Valid until</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 November 2026</w:t>
            </w:r>
          </w:p>
        </w:tc>
      </w:tr>
      <w:tr>
        <w:trPr>
          <w:cantSplit/>
        </w:trPr>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Version</w:t>
            </w:r>
          </w:p>
        </w:tc>
        <w:tc>
          <w:tcPr>
            <w:tcW w:type="dxa" w:w="6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0.1 draft</w:t>
            </w:r>
          </w:p>
        </w:tc>
      </w:tr>
    </w:tbl>
    <w:p>
      <w:pPr>
        <w:spacing w:after="500"/>
      </w:pPr>
    </w:p>
    <w:p>
      <w:pPr>
        <w:spacing w:after="160" w:line="300"/>
      </w:pPr>
      <w:r>
        <w:rPr>
          <w:rFonts w:ascii="Geist" w:cs="Geist" w:eastAsia="Geist" w:hAnsi="Geist"/>
          <w:color w:val="6A6A75"/>
          <w:sz w:val="18"/>
          <w:szCs w:val="18"/>
        </w:rPr>
        <w:t xml:space="preserve">Commercial in confidence. This document contains proprietary information belonging to Scout AI Group and is provided solely for the evaluation of the engagement described. It may not be reproduced or disclosed to a third party without written consent.</w:t>
      </w:r>
    </w:p>
    <w:p>
      <w:r>
        <w:br w:type="page"/>
      </w:r>
    </w:p>
    <w:p>
      <w:pPr>
        <w:spacing w:after="100"/>
      </w:pPr>
      <w:r>
        <w:rPr>
          <w:rFonts w:ascii="Geist" w:cs="Geist" w:eastAsia="Geist" w:hAnsi="Geist"/>
          <w:b/>
          <w:bCs/>
          <w:color w:val="6A6A75"/>
          <w:spacing w:val="40"/>
          <w:sz w:val="17"/>
          <w:szCs w:val="17"/>
        </w:rPr>
        <w:t xml:space="preserve">CONTENTS</w:t>
      </w:r>
    </w:p>
    <w:p>
      <w:pPr>
        <w:spacing w:after="240"/>
      </w:pPr>
      <w:r>
        <w:rPr>
          <w:rFonts w:ascii="Geist" w:cs="Geist" w:eastAsia="Geist" w:hAnsi="Geist"/>
          <w:b/>
          <w:bCs/>
          <w:color w:val="1B1B1F"/>
          <w:sz w:val="38"/>
          <w:szCs w:val="38"/>
        </w:rPr>
        <w:t xml:space="preserve">Contents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8512"/>
      </w:tblGrid>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1</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Executive summary</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2</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Your context</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3</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Approach</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4</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Scope and deliverables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5</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Governance, assurance and evidence</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6</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Commercials: Option 1 (BCJS owns) and Option 2 (licence)</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7</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Assumptions and dependencies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8</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Team</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9</w:t>
            </w:r>
          </w:p>
        </w:tc>
        <w:tc>
          <w:tcPr>
            <w:tcW w:type="dxa" w:w="85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Next step and acceptance</w:t>
            </w:r>
          </w:p>
        </w:tc>
      </w:tr>
    </w:tbl>
    <w:p>
      <w:r>
        <w:br w:type="page"/>
      </w:r>
    </w:p>
    <w:p>
      <w:pPr>
        <w:pStyle w:val="Heading1"/>
        <w:keepNext/>
        <w:spacing w:after="200" w:before="400"/>
      </w:pPr>
      <w:r>
        <w:rPr>
          <w:rFonts w:ascii="Geist" w:cs="Geist" w:eastAsia="Geist" w:hAnsi="Geist"/>
          <w:b/>
          <w:bCs/>
          <w:color w:val="1B1B1F"/>
          <w:spacing w:val="-8"/>
          <w:sz w:val="38"/>
          <w:szCs w:val="38"/>
        </w:rPr>
        <w:t xml:space="preserve">1. Executive summary</w:t>
      </w:r>
    </w:p>
    <w:p>
      <w:pPr>
        <w:spacing w:after="160" w:line="300"/>
      </w:pPr>
      <w:r>
        <w:rPr>
          <w:rFonts w:ascii="Geist" w:cs="Geist" w:eastAsia="Geist" w:hAnsi="Geist"/>
          <w:color w:val="3A3A42"/>
          <w:sz w:val="21"/>
          <w:szCs w:val="21"/>
        </w:rPr>
        <w:t xml:space="preserve">BCJS runs on Xero, Microsoft 365, spreadsheets and memory. The job is known well by the people on it. It is not known in one place. Overspends surface at the valuation, not the week they happen. Paperwork gaps surface on site, not before.</w:t>
      </w:r>
    </w:p>
    <w:p>
      <w:pPr>
        <w:spacing w:after="160" w:line="300"/>
      </w:pPr>
      <w:r>
        <w:rPr>
          <w:rFonts w:ascii="Geist" w:cs="Geist" w:eastAsia="Geist" w:hAnsi="Geist"/>
          <w:color w:val="3A3A42"/>
          <w:sz w:val="21"/>
          <w:szCs w:val="21"/>
        </w:rPr>
        <w:t xml:space="preserve">Scout will deliver the BCJS Operations Control System: one project record from enquiry to final account. Staff sign in with their Microsoft 365 accounts. Documents live in SharePoint. Approvals arrive in Teams. Approved costs flow into Xero without retyping. An AI layer drafts estimates, RAMS, site diaries and invoice entries for a person to confirm.</w:t>
      </w:r>
    </w:p>
    <w:p>
      <w:pPr>
        <w:spacing w:after="160" w:line="300"/>
      </w:pPr>
      <w:r>
        <w:rPr>
          <w:rFonts w:ascii="Geist" w:cs="Geist" w:eastAsia="Geist" w:hAnsi="Geist"/>
          <w:color w:val="3A3A42"/>
          <w:sz w:val="21"/>
          <w:szCs w:val="21"/>
        </w:rPr>
        <w:t xml:space="preserve">Delivery runs in seven releases over roughly eleven months. Each release is a point where the system is worth using, signed off when a real BCJS job passes through it in front of a witness.</w:t>
      </w:r>
    </w:p>
    <w:p>
      <w:pPr>
        <w:spacing w:after="160" w:line="300"/>
      </w:pPr>
      <w:r>
        <w:rPr>
          <w:rFonts w:ascii="Geist" w:cs="Geist" w:eastAsia="Geist" w:hAnsi="Geist"/>
          <w:color w:val="3A3A42"/>
          <w:sz w:val="21"/>
          <w:szCs w:val="21"/>
        </w:rPr>
        <w:t xml:space="preserve">There are two ways to buy it. Option 1: BCJS pays a fixed fee per release and owns the software and IP outright, £102,000 in total. Option 2: Scout owns and runs the platform; BCJS pays a £34,500 implementation fee and a £2,950 monthly licence that includes hosting, AI, support and every future release. Section 6 sets out both, with a three- and five-year cost comparison.</w:t>
      </w:r>
    </w:p>
    <w:p>
      <w:pPr>
        <w:pStyle w:val="Heading1"/>
        <w:keepNext/>
        <w:spacing w:after="200" w:before="400"/>
      </w:pPr>
      <w:r>
        <w:rPr>
          <w:rFonts w:ascii="Geist" w:cs="Geist" w:eastAsia="Geist" w:hAnsi="Geist"/>
          <w:b/>
          <w:bCs/>
          <w:color w:val="1B1B1F"/>
          <w:spacing w:val="-8"/>
          <w:sz w:val="38"/>
          <w:szCs w:val="38"/>
        </w:rPr>
        <w:t xml:space="preserve">2. Your context</w:t>
      </w:r>
    </w:p>
    <w:p>
      <w:pPr>
        <w:pStyle w:val="Heading2"/>
        <w:keepNext/>
        <w:spacing w:after="140" w:before="300"/>
      </w:pPr>
      <w:r>
        <w:rPr>
          <w:rFonts w:ascii="Geist" w:cs="Geist" w:eastAsia="Geist" w:hAnsi="Geist"/>
          <w:b/>
          <w:bCs/>
          <w:color w:val="1B1B1F"/>
          <w:sz w:val="27"/>
          <w:szCs w:val="27"/>
        </w:rPr>
        <w:t xml:space="preserve">2.1 What we heard</w:t>
      </w:r>
    </w:p>
    <w:p>
      <w:pPr>
        <w:pStyle w:val="ListParagraph"/>
        <w:numPr>
          <w:ilvl w:val="0"/>
          <w:numId w:val="2"/>
        </w:numPr>
        <w:spacing w:after="100" w:line="300"/>
      </w:pPr>
      <w:r>
        <w:rPr>
          <w:rFonts w:ascii="Geist" w:cs="Geist" w:eastAsia="Geist" w:hAnsi="Geist"/>
          <w:color w:val="3A3A42"/>
          <w:sz w:val="21"/>
          <w:szCs w:val="21"/>
        </w:rPr>
        <w:t xml:space="preserve">Enquiries, tenders, orders and variations are tracked across email, Xero and spreadsheets. The process map exists; the system to enforce it does not.</w:t>
      </w:r>
    </w:p>
    <w:p>
      <w:pPr>
        <w:pStyle w:val="ListParagraph"/>
        <w:numPr>
          <w:ilvl w:val="0"/>
          <w:numId w:val="2"/>
        </w:numPr>
        <w:spacing w:after="100" w:line="300"/>
      </w:pPr>
      <w:r>
        <w:rPr>
          <w:rFonts w:ascii="Geist" w:cs="Geist" w:eastAsia="Geist" w:hAnsi="Geist"/>
          <w:color w:val="3A3A42"/>
          <w:sz w:val="21"/>
          <w:szCs w:val="21"/>
        </w:rPr>
        <w:t xml:space="preserve">Committed spend is invisible until the invoice lands, so margin is known a month late.</w:t>
      </w:r>
    </w:p>
    <w:p>
      <w:pPr>
        <w:pStyle w:val="ListParagraph"/>
        <w:numPr>
          <w:ilvl w:val="0"/>
          <w:numId w:val="2"/>
        </w:numPr>
        <w:spacing w:after="100" w:line="300"/>
      </w:pPr>
      <w:r>
        <w:rPr>
          <w:rFonts w:ascii="Geist" w:cs="Geist" w:eastAsia="Geist" w:hAnsi="Geist"/>
          <w:color w:val="3A3A42"/>
          <w:sz w:val="21"/>
          <w:szCs w:val="21"/>
        </w:rPr>
        <w:t xml:space="preserve">Sites are rural. Signal is poor. Anything that needs a connection on site will not be used.</w:t>
      </w:r>
    </w:p>
    <w:p>
      <w:pPr>
        <w:pStyle w:val="ListParagraph"/>
        <w:numPr>
          <w:ilvl w:val="0"/>
          <w:numId w:val="2"/>
        </w:numPr>
        <w:spacing w:after="100" w:line="300"/>
      </w:pPr>
      <w:r>
        <w:rPr>
          <w:rFonts w:ascii="Geist" w:cs="Geist" w:eastAsia="Geist" w:hAnsi="Geist"/>
          <w:color w:val="3A3A42"/>
          <w:sz w:val="21"/>
          <w:szCs w:val="21"/>
        </w:rPr>
        <w:t xml:space="preserve">Heritage and listed work raises the bar on evidence: lime specifications, conservation correspondence, photographs and RAMS must be provably in place.</w:t>
      </w:r>
    </w:p>
    <w:p>
      <w:pPr>
        <w:pStyle w:val="ListParagraph"/>
        <w:numPr>
          <w:ilvl w:val="0"/>
          <w:numId w:val="2"/>
        </w:numPr>
        <w:spacing w:after="100" w:line="300"/>
      </w:pPr>
      <w:r>
        <w:rPr>
          <w:rFonts w:ascii="Geist" w:cs="Geist" w:eastAsia="Geist" w:hAnsi="Geist"/>
          <w:color w:val="3A3A42"/>
          <w:sz w:val="21"/>
          <w:szCs w:val="21"/>
        </w:rPr>
        <w:t xml:space="preserve">The team wants a system that reflects how each department works, built with their input rather than handed to them.</w:t>
      </w:r>
    </w:p>
    <w:p>
      <w:pPr>
        <w:pStyle w:val="Heading2"/>
        <w:keepNext/>
        <w:spacing w:after="140" w:before="300"/>
      </w:pPr>
      <w:r>
        <w:rPr>
          <w:rFonts w:ascii="Geist" w:cs="Geist" w:eastAsia="Geist" w:hAnsi="Geist"/>
          <w:b/>
          <w:bCs/>
          <w:color w:val="1B1B1F"/>
          <w:sz w:val="27"/>
          <w:szCs w:val="27"/>
        </w:rPr>
        <w:t xml:space="preserve">2.2 What this proposal addresses</w:t>
      </w:r>
    </w:p>
    <w:p>
      <w:pPr>
        <w:spacing w:after="160" w:line="300"/>
      </w:pPr>
      <w:r>
        <w:rPr>
          <w:rFonts w:ascii="Geist" w:cs="Geist" w:eastAsia="Geist" w:hAnsi="Geist"/>
          <w:color w:val="3A3A42"/>
          <w:sz w:val="21"/>
          <w:szCs w:val="21"/>
        </w:rPr>
        <w:t xml:space="preserve">The full scope of the BCJS Build Programme (twenty sections, six releases), rebuilt on BCJS's own Microsoft 365 and Xero, with AI across the job lifecycle. A clickable prototype of the target experience is already available for the team to explore before anything is signed.</w:t>
      </w:r>
    </w:p>
    <w:p>
      <w:pPr>
        <w:pStyle w:val="Heading1"/>
        <w:keepNext/>
        <w:spacing w:after="200" w:before="400"/>
      </w:pPr>
      <w:r>
        <w:rPr>
          <w:rFonts w:ascii="Geist" w:cs="Geist" w:eastAsia="Geist" w:hAnsi="Geist"/>
          <w:b/>
          <w:bCs/>
          <w:color w:val="1B1B1F"/>
          <w:spacing w:val="-8"/>
          <w:sz w:val="38"/>
          <w:szCs w:val="38"/>
        </w:rPr>
        <w:t xml:space="preserve">3. Approach</w:t>
      </w:r>
    </w:p>
    <w:p>
      <w:pPr>
        <w:spacing w:after="160" w:line="300"/>
      </w:pPr>
      <w:r>
        <w:rPr>
          <w:rFonts w:ascii="Geist" w:cs="Geist" w:eastAsia="Geist" w:hAnsi="Geist"/>
          <w:color w:val="3A3A42"/>
          <w:sz w:val="21"/>
          <w:szCs w:val="21"/>
        </w:rPr>
        <w:t xml:space="preserve">We do not sell hours. We scope outcomes, agree a fixed fee per release, and deliver using 10×, our AI-native delivery system. How we deliver is our business. What we deliver is yours.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4800"/>
        <w:gridCol w:w="2312"/>
      </w:tblGrid>
      <w:tr>
        <w:trPr>
          <w:cantSplit/>
          <w:tblHeader/>
        </w:trPr>
        <w:tc>
          <w:tcPr>
            <w:tcW w:type="dxa" w:w="23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RELEASE</w:t>
            </w:r>
          </w:p>
        </w:tc>
        <w:tc>
          <w:tcPr>
            <w:tcW w:type="dxa" w:w="4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OUTCOME</w:t>
            </w:r>
          </w:p>
        </w:tc>
        <w:tc>
          <w:tcPr>
            <w:tcW w:type="dxa" w:w="23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INDICATIVE DURATION</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R0 Discovery &amp; design</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Department workshops, cost codes and approval limits agreed, Kabyn and Briefcase audited, prototype refined</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 to 4 weeks</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R1 Hold real work</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Platform live on Microsoft 365 sign-in, roles, audit trail, stage gates, SharePoint document register</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6 to 8 weeks</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R2 Win work</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Enquiry to quote to award in the system; quotes sent from Outlook; client acceptance via Acrobat Sign</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8 to 10 weeks</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R3 Start properly</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Compliance registers, RAMS, budget baseline; nobody on site until the readiness checklist passes</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5 to 6 weeks</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R4 Control cost &amp; cash</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Orders, Xero integration, invoice scanning, time, CVR and a 13-week cash forecast</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10 to 12 weeks</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R5 Finish &amp; get paid</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Snagging, handover packs, final account and retention</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5 to 6 weeks</w:t>
            </w:r>
          </w:p>
        </w:tc>
      </w:tr>
      <w:tr>
        <w:trPr>
          <w:cantSplit/>
        </w:trPr>
        <w:tc>
          <w:tcPr>
            <w:tcW w:type="dxa" w:w="2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R6 Learn &amp; harden</w:t>
            </w:r>
          </w:p>
        </w:tc>
        <w:tc>
          <w:tcPr>
            <w:tcW w:type="dxa" w:w="4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Win/loss reporting, notifications, GDPR tooling, Copilot agent, penetration test</w:t>
            </w:r>
          </w:p>
        </w:tc>
        <w:tc>
          <w:tcPr>
            <w:tcW w:type="dxa" w:w="2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5 to 6 weeks</w:t>
            </w:r>
          </w:p>
        </w:tc>
      </w:tr>
    </w:tbl>
    <w:p>
      <w:pPr>
        <w:spacing w:after="200"/>
      </w:pPr>
    </w:p>
    <w:p>
      <w:pPr>
        <w:spacing w:after="160" w:line="300"/>
      </w:pPr>
      <w:r>
        <w:rPr>
          <w:rFonts w:ascii="Geist" w:cs="Geist" w:eastAsia="Geist" w:hAnsi="Geist"/>
          <w:color w:val="6A6A75"/>
          <w:sz w:val="18"/>
          <w:szCs w:val="18"/>
        </w:rPr>
        <w:t xml:space="preserve">Durations are indicative and confirmed at the end of R0. Releases can overlap where dependencies allow. Cost codes and approval limits are needed during R2.</w:t>
      </w:r>
    </w:p>
    <w:p>
      <w:pPr>
        <w:pStyle w:val="Heading1"/>
        <w:keepNext/>
        <w:spacing w:after="200" w:before="400"/>
      </w:pPr>
      <w:r>
        <w:rPr>
          <w:rFonts w:ascii="Geist" w:cs="Geist" w:eastAsia="Geist" w:hAnsi="Geist"/>
          <w:b/>
          <w:bCs/>
          <w:color w:val="1B1B1F"/>
          <w:spacing w:val="-8"/>
          <w:sz w:val="38"/>
          <w:szCs w:val="38"/>
        </w:rPr>
        <w:t xml:space="preserve">4. Scope and deliverables</w:t>
      </w:r>
    </w:p>
    <w:p>
      <w:pPr>
        <w:spacing w:after="160" w:line="300"/>
      </w:pPr>
      <w:r>
        <w:rPr>
          <w:rFonts w:ascii="Geist" w:cs="Geist" w:eastAsia="Geist" w:hAnsi="Geist"/>
          <w:color w:val="3A3A42"/>
          <w:sz w:val="21"/>
          <w:szCs w:val="21"/>
        </w:rPr>
        <w:t xml:space="preserve">Each release ends on a witnessed sign-off: a real job passes through it end to end, without anyone opening a spreadsheet or the database. Anything not listed is out of scope and handled through a signed change note.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212"/>
      </w:tblGrid>
      <w:tr>
        <w:trPr>
          <w:cantSplit/>
          <w:tblHeader/>
        </w:trPr>
        <w:tc>
          <w:tcPr>
            <w:tcW w:type="dxa" w:w="1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DELIVERABLE</w:t>
            </w:r>
          </w:p>
        </w:tc>
        <w:tc>
          <w:tcPr>
            <w:tcW w:type="dxa" w:w="43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DESCRIPTION</w:t>
            </w:r>
          </w:p>
        </w:tc>
        <w:tc>
          <w:tcPr>
            <w:tcW w:type="dxa" w:w="32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ACCEPTANCE</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D1 Platform</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Hosted in the UK, Microsoft 365 single sign-on, role-based access, append-only audit, versioned documents in SharePoint</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Each role signs in with M365 and sees only what its permissions allow; audit answers "who changed this"</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D2 Win work</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Enquiry pipeline, site survey on a phone, estimating with rate card, quotes and client responses, award gate</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An enquiry becomes a won job with budget carried, no retyping</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D3 Start properly</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Supplier and subcontractor register, certification and insurance expiry, RAMS, readiness checklist</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job with lapsed insurance cannot start without a recorded override</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D4 Cost &amp; cash</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POs with approval bands, goods receipt, AI invoice scanning, Xero bills and payments, time, CVR, cash flow with scenarios</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An approved bill reaches Xero coded to the job; the cash forecast moves the day a PO is approved</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D5 Site app</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Installable web app for site managers and subcontractors that works with no signal</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Time, photos and diary captured offline sync when signal returns</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D6 Close-out</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Snagging, handover packs, final account, retention alerts, estimate against final</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job cannot close with critical snags or an unaccepted pack</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D7 AI layer</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Ask BCJS assistant, estimating and RAMS drafting, dictated diary, invoice extraction; every output confirmed by a person</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Each feature meets its agreed accuracy bar on real BCJS examples before release</w:t>
            </w:r>
          </w:p>
        </w:tc>
      </w:tr>
      <w:tr>
        <w:trPr>
          <w:cantSplit/>
        </w:trPr>
        <w:tc>
          <w:tcPr>
            <w:tcW w:type="dxa" w:w="1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D8 Handover</w:t>
            </w:r>
          </w:p>
        </w:tc>
        <w:tc>
          <w:tcPr>
            <w:tcW w:type="dxa" w:w="4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Training for office and site, admin guide, runbooks, assurance pack</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administrators run user and role changes without Scout</w:t>
            </w:r>
          </w:p>
        </w:tc>
      </w:tr>
    </w:tbl>
    <w:p>
      <w:pPr>
        <w:spacing w:after="260"/>
      </w:pPr>
    </w:p>
    <w:p>
      <w:pPr>
        <w:pStyle w:val="Heading2"/>
        <w:keepNext/>
        <w:spacing w:after="140" w:before="300"/>
      </w:pPr>
      <w:r>
        <w:rPr>
          <w:rFonts w:ascii="Geist" w:cs="Geist" w:eastAsia="Geist" w:hAnsi="Geist"/>
          <w:b/>
          <w:bCs/>
          <w:color w:val="1B1B1F"/>
          <w:sz w:val="27"/>
          <w:szCs w:val="27"/>
        </w:rPr>
        <w:t xml:space="preserve">4.1 Out of scope</w:t>
      </w:r>
    </w:p>
    <w:p>
      <w:pPr>
        <w:pStyle w:val="ListParagraph"/>
        <w:numPr>
          <w:ilvl w:val="0"/>
          <w:numId w:val="2"/>
        </w:numPr>
        <w:spacing w:after="100" w:line="300"/>
      </w:pPr>
      <w:r>
        <w:rPr>
          <w:rFonts w:ascii="Geist" w:cs="Geist" w:eastAsia="Geist" w:hAnsi="Geist"/>
          <w:color w:val="3A3A42"/>
          <w:sz w:val="21"/>
          <w:szCs w:val="21"/>
        </w:rPr>
        <w:t xml:space="preserve">Replacing Xero as the accounting ledger. Xero stays the ledger.</w:t>
      </w:r>
    </w:p>
    <w:p>
      <w:pPr>
        <w:pStyle w:val="ListParagraph"/>
        <w:numPr>
          <w:ilvl w:val="0"/>
          <w:numId w:val="2"/>
        </w:numPr>
        <w:spacing w:after="100" w:line="300"/>
      </w:pPr>
      <w:r>
        <w:rPr>
          <w:rFonts w:ascii="Geist" w:cs="Geist" w:eastAsia="Geist" w:hAnsi="Geist"/>
          <w:color w:val="3A3A42"/>
          <w:sz w:val="21"/>
          <w:szCs w:val="21"/>
        </w:rPr>
        <w:t xml:space="preserve">Microsoft 365 licence changes, device management and email migration. Scout will advise on licence level in R0.</w:t>
      </w:r>
    </w:p>
    <w:p>
      <w:pPr>
        <w:pStyle w:val="ListParagraph"/>
        <w:numPr>
          <w:ilvl w:val="0"/>
          <w:numId w:val="2"/>
        </w:numPr>
        <w:spacing w:after="100" w:line="300"/>
      </w:pPr>
      <w:r>
        <w:rPr>
          <w:rFonts w:ascii="Geist" w:cs="Geist" w:eastAsia="Geist" w:hAnsi="Geist"/>
          <w:color w:val="3A3A42"/>
          <w:sz w:val="21"/>
          <w:szCs w:val="21"/>
        </w:rPr>
        <w:t xml:space="preserve">Migration of historic closed jobs beyond the live projects and current-year estimates.</w:t>
      </w:r>
    </w:p>
    <w:p>
      <w:pPr>
        <w:pStyle w:val="ListParagraph"/>
        <w:numPr>
          <w:ilvl w:val="0"/>
          <w:numId w:val="2"/>
        </w:numPr>
        <w:spacing w:after="100" w:line="300"/>
      </w:pPr>
      <w:r>
        <w:rPr>
          <w:rFonts w:ascii="Geist" w:cs="Geist" w:eastAsia="Geist" w:hAnsi="Geist"/>
          <w:color w:val="3A3A42"/>
          <w:sz w:val="21"/>
          <w:szCs w:val="21"/>
        </w:rPr>
        <w:t xml:space="preserve">Hardware such as NFC tags or tablets.</w:t>
      </w:r>
    </w:p>
    <w:p>
      <w:pPr>
        <w:pStyle w:val="Heading1"/>
        <w:keepNext/>
        <w:spacing w:after="200" w:before="400"/>
      </w:pPr>
      <w:r>
        <w:rPr>
          <w:rFonts w:ascii="Geist" w:cs="Geist" w:eastAsia="Geist" w:hAnsi="Geist"/>
          <w:b/>
          <w:bCs/>
          <w:color w:val="1B1B1F"/>
          <w:spacing w:val="-8"/>
          <w:sz w:val="38"/>
          <w:szCs w:val="38"/>
        </w:rPr>
        <w:t xml:space="preserve">5. Governance, assurance and evidence</w:t>
      </w:r>
    </w:p>
    <w:p>
      <w:pPr>
        <w:spacing w:after="160" w:line="300"/>
      </w:pPr>
      <w:r>
        <w:rPr>
          <w:rFonts w:ascii="Geist" w:cs="Geist" w:eastAsia="Geist" w:hAnsi="Geist"/>
          <w:color w:val="3A3A42"/>
          <w:sz w:val="21"/>
          <w:szCs w:val="21"/>
        </w:rPr>
        <w:t xml:space="preserve">Governance is not a workstream added at the end. Each gate produces the artefacts an auditor, insurer or client asks for, as a by-product of delivery.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212"/>
      </w:tblGrid>
      <w:tr>
        <w:trPr>
          <w:cantSplit/>
          <w:tblHeader/>
        </w:trPr>
        <w:tc>
          <w:tcPr>
            <w:tcW w:type="dxa" w:w="2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GATE</w:t>
            </w:r>
          </w:p>
        </w:tc>
        <w:tc>
          <w:tcPr>
            <w:tcW w:type="dxa" w:w="3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CONTROL</w:t>
            </w:r>
          </w:p>
        </w:tc>
        <w:tc>
          <w:tcPr>
            <w:tcW w:type="dxa" w:w="32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EVIDENCE PRODUCED</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Gate 01 Scope and risk</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UK GDPR data protection impact assessment, ICO registration check, processor agreements (Microsoft, Xero, Adobe, AI provider)</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DPIA, processing register, decisions register</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Gate 02 Build and test</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Server-side permissions, tenant isolation tests, money handled in whole pence, AI outputs confirmed by a person</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Test reports, change log, AI evaluation results</w:t>
            </w:r>
          </w:p>
        </w:tc>
      </w:tr>
      <w:tr>
        <w:trPr>
          <w:cantSplit/>
        </w:trPr>
        <w:tc>
          <w:tcPr>
            <w:tcW w:type="dxa" w:w="2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Gate 03 Live and assure</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Monitoring and alerting, tested backups, penetration test before money flows (R4), NCSC Cloud Security Principles, Cyber Essentials Plus alignment</w:t>
            </w:r>
          </w:p>
        </w:tc>
        <w:tc>
          <w:tcPr>
            <w:tcW w:type="dxa" w:w="32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Monitoring plan, restore rehearsal record, pen test report, named owner</w:t>
            </w:r>
          </w:p>
        </w:tc>
      </w:tr>
    </w:tbl>
    <w:p>
      <w:pPr>
        <w:spacing w:after="200"/>
      </w:pPr>
    </w:p>
    <w:p>
      <w:pPr>
        <w:pStyle w:val="Heading1"/>
        <w:keepNext/>
        <w:spacing w:after="200" w:before="400"/>
      </w:pPr>
      <w:r>
        <w:rPr>
          <w:rFonts w:ascii="Geist" w:cs="Geist" w:eastAsia="Geist" w:hAnsi="Geist"/>
          <w:b/>
          <w:bCs/>
          <w:color w:val="1B1B1F"/>
          <w:spacing w:val="-8"/>
          <w:sz w:val="38"/>
          <w:szCs w:val="38"/>
        </w:rPr>
        <w:t xml:space="preserve">6. Commercials</w:t>
      </w:r>
    </w:p>
    <w:p>
      <w:pPr>
        <w:spacing w:after="160" w:line="300"/>
      </w:pPr>
      <w:r>
        <w:rPr>
          <w:rFonts w:ascii="Geist" w:cs="Geist" w:eastAsia="Geist" w:hAnsi="Geist"/>
          <w:color w:val="3A3A42"/>
          <w:sz w:val="21"/>
          <w:szCs w:val="21"/>
        </w:rPr>
        <w:t xml:space="preserve">Two options. Both deliver the same system on the same timetable. They differ in who owns the software and how it is paid for. BCJS owns its data under both, always.</w:t>
      </w:r>
    </w:p>
    <w:p>
      <w:pPr>
        <w:pStyle w:val="Heading2"/>
        <w:keepNext/>
        <w:spacing w:after="140" w:before="300"/>
      </w:pPr>
      <w:r>
        <w:rPr>
          <w:rFonts w:ascii="Geist" w:cs="Geist" w:eastAsia="Geist" w:hAnsi="Geist"/>
          <w:b/>
          <w:bCs/>
          <w:color w:val="1B1B1F"/>
          <w:sz w:val="27"/>
          <w:szCs w:val="27"/>
        </w:rPr>
        <w:t xml:space="preserve">6.1 Option 1: BCJS owns the software and IP</w:t>
      </w:r>
    </w:p>
    <w:p>
      <w:pPr>
        <w:spacing w:after="160" w:line="300"/>
      </w:pPr>
      <w:r>
        <w:rPr>
          <w:rFonts w:ascii="Geist" w:cs="Geist" w:eastAsia="Geist" w:hAnsi="Geist"/>
          <w:color w:val="3A3A42"/>
          <w:sz w:val="21"/>
          <w:szCs w:val="21"/>
        </w:rPr>
        <w:t xml:space="preserve">Fixed fee per release. On payment of each release, the IP in the software built for BCJS is assigned to BCJS. Code lives in a BCJS GitHub organisation and runs in BCJS's own Azure tenant. BCJS can take it to any supplier.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412"/>
      </w:tblGrid>
      <w:tr>
        <w:trPr>
          <w:cantSplit/>
          <w:tblHeader/>
        </w:trPr>
        <w:tc>
          <w:tcPr>
            <w:tcW w:type="dxa" w:w="4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RELEASE</w:t>
            </w:r>
          </w:p>
        </w:tc>
        <w:tc>
          <w:tcPr>
            <w:tcW w:type="dxa" w:w="26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BASIS</w:t>
            </w:r>
          </w:p>
        </w:tc>
        <w:tc>
          <w:tcPr>
            <w:tcW w:type="dxa" w:w="24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FEE</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R0 Discovery &amp; design</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£7,500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R1 Hold real work</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£16,500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R2 Win work</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£19,500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R3 Start properly</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£11,000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R4 Control cost &amp; cash</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£24,500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R5 Finish &amp; get paid</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£11,000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R6 Learn &amp; harden</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£12,000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Total build</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£102,000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Support &amp; maintenance (optional, from go-live of R6)</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Monthly retainer</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£1,250 per month</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Hosting, AI usage and third-party subscriptions</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Paid by BCJS direct, at cost</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Estimated £300 to £600 per month</w:t>
            </w:r>
          </w:p>
        </w:tc>
      </w:tr>
    </w:tbl>
    <w:p>
      <w:pPr>
        <w:spacing w:after="200"/>
      </w:pPr>
    </w:p>
    <w:p>
      <w:pPr>
        <w:pStyle w:val="ListParagraph"/>
        <w:numPr>
          <w:ilvl w:val="0"/>
          <w:numId w:val="2"/>
        </w:numPr>
        <w:spacing w:after="100" w:line="300"/>
      </w:pPr>
      <w:r>
        <w:rPr>
          <w:rFonts w:ascii="Geist" w:cs="Geist" w:eastAsia="Geist" w:hAnsi="Geist"/>
          <w:color w:val="3A3A42"/>
          <w:sz w:val="21"/>
          <w:szCs w:val="21"/>
        </w:rPr>
        <w:t xml:space="preserve">Each release is invoiced 40% at start and 60% on witnessed sign-off.</w:t>
      </w:r>
    </w:p>
    <w:p>
      <w:pPr>
        <w:pStyle w:val="ListParagraph"/>
        <w:numPr>
          <w:ilvl w:val="0"/>
          <w:numId w:val="2"/>
        </w:numPr>
        <w:spacing w:after="100" w:line="300"/>
      </w:pPr>
      <w:r>
        <w:rPr>
          <w:rFonts w:ascii="Geist" w:cs="Geist" w:eastAsia="Geist" w:hAnsi="Geist"/>
          <w:color w:val="3A3A42"/>
          <w:sz w:val="21"/>
          <w:szCs w:val="21"/>
        </w:rPr>
        <w:t xml:space="preserve">Support retainer covers security patches, platform updates, the Xero and Microsoft API changes that keep integrations working, UK business-hours support, and up to two days a month of small enhancements.</w:t>
      </w:r>
    </w:p>
    <w:p>
      <w:pPr>
        <w:pStyle w:val="ListParagraph"/>
        <w:numPr>
          <w:ilvl w:val="0"/>
          <w:numId w:val="2"/>
        </w:numPr>
        <w:spacing w:after="100" w:line="300"/>
      </w:pPr>
      <w:r>
        <w:rPr>
          <w:rFonts w:ascii="Geist" w:cs="Geist" w:eastAsia="Geist" w:hAnsi="Geist"/>
          <w:color w:val="3A3A42"/>
          <w:sz w:val="21"/>
          <w:szCs w:val="21"/>
        </w:rPr>
        <w:t xml:space="preserve">Scout keeps ownership of its pre-existing tools and components, licensed to BCJS perpetually and royalty-free as part of the system.</w:t>
      </w:r>
    </w:p>
    <w:p>
      <w:pPr>
        <w:pStyle w:val="Heading2"/>
        <w:keepNext/>
        <w:spacing w:after="140" w:before="300"/>
      </w:pPr>
      <w:r>
        <w:rPr>
          <w:rFonts w:ascii="Geist" w:cs="Geist" w:eastAsia="Geist" w:hAnsi="Geist"/>
          <w:b/>
          <w:bCs/>
          <w:color w:val="1B1B1F"/>
          <w:sz w:val="27"/>
          <w:szCs w:val="27"/>
        </w:rPr>
        <w:t xml:space="preserve">6.2 Option 2: Scout owns the platform; BCJS licenses it</w:t>
      </w:r>
    </w:p>
    <w:p>
      <w:pPr>
        <w:spacing w:after="160" w:line="300"/>
      </w:pPr>
      <w:r>
        <w:rPr>
          <w:rFonts w:ascii="Geist" w:cs="Geist" w:eastAsia="Geist" w:hAnsi="Geist"/>
          <w:color w:val="3A3A42"/>
          <w:sz w:val="21"/>
          <w:szCs w:val="21"/>
        </w:rPr>
        <w:t xml:space="preserve">Lower upfront cost. Scout hosts, runs, supports and improves the platform. BCJS pays an implementation fee to set it up around how BCJS works, then a monthly licence. Improvements Scout makes for the wider construction product reach BCJS at no extra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412"/>
      </w:tblGrid>
      <w:tr>
        <w:trPr>
          <w:cantSplit/>
          <w:tblHeader/>
        </w:trPr>
        <w:tc>
          <w:tcPr>
            <w:tcW w:type="dxa" w:w="44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ITEM</w:t>
            </w:r>
          </w:p>
        </w:tc>
        <w:tc>
          <w:tcPr>
            <w:tcW w:type="dxa" w:w="26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BASIS</w:t>
            </w:r>
          </w:p>
        </w:tc>
        <w:tc>
          <w:tcPr>
            <w:tcW w:type="dxa" w:w="24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FEE</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Implementation: discovery, configuration to BCJS processes, Microsoft 365 and Xero connection, data migration, training</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Fixed fee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£34,500</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Licence: all modules R1 to R6 as they release, unlimited BCJS staff and subcontractor users, UK hosting, AI usage within fair use, support and updates</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Monthly, from R1 go-live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£2,950 per month</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Initial term</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36 months from R1 go-live, then rolling 12 months</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Annual uplift capped at CPI</w:t>
            </w:r>
          </w:p>
        </w:tc>
      </w:tr>
      <w:tr>
        <w:trPr>
          <w:cantSplit/>
        </w:trPr>
        <w:tc>
          <w:tcPr>
            <w:tcW w:type="dxa" w:w="44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Optional buy-out at the end of the initial term</w:t>
            </w:r>
          </w:p>
        </w:tc>
        <w:tc>
          <w:tcPr>
            <w:tcW w:type="dxa" w:w="26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Perpetual licence and source code for BCJS's own instance</w:t>
            </w:r>
          </w:p>
        </w:tc>
        <w:tc>
          <w:tcPr>
            <w:tcW w:type="dxa" w:w="24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£45,000</w:t>
            </w:r>
          </w:p>
        </w:tc>
      </w:tr>
    </w:tbl>
    <w:p>
      <w:pPr>
        <w:spacing w:after="200"/>
      </w:pPr>
    </w:p>
    <w:p>
      <w:pPr>
        <w:pStyle w:val="ListParagraph"/>
        <w:numPr>
          <w:ilvl w:val="0"/>
          <w:numId w:val="2"/>
        </w:numPr>
        <w:spacing w:after="100" w:line="300"/>
      </w:pPr>
      <w:r>
        <w:rPr>
          <w:rFonts w:ascii="Geist" w:cs="Geist" w:eastAsia="Geist" w:hAnsi="Geist"/>
          <w:color w:val="3A3A42"/>
          <w:sz w:val="21"/>
          <w:szCs w:val="21"/>
        </w:rPr>
        <w:t xml:space="preserve">Implementation is invoiced 50% on signature and 50% at R1 go-live. The licence is billed monthly in advance.</w:t>
      </w:r>
    </w:p>
    <w:p>
      <w:pPr>
        <w:pStyle w:val="ListParagraph"/>
        <w:numPr>
          <w:ilvl w:val="0"/>
          <w:numId w:val="2"/>
        </w:numPr>
        <w:spacing w:after="100" w:line="300"/>
      </w:pPr>
      <w:r>
        <w:rPr>
          <w:rFonts w:ascii="Geist" w:cs="Geist" w:eastAsia="Geist" w:hAnsi="Geist"/>
          <w:color w:val="3A3A42"/>
          <w:sz w:val="21"/>
          <w:szCs w:val="21"/>
        </w:rPr>
        <w:t xml:space="preserve">BCJS data is BCJS's. It can be exported at any time in open formats, and is returned in full on exit.</w:t>
      </w:r>
    </w:p>
    <w:p>
      <w:pPr>
        <w:pStyle w:val="ListParagraph"/>
        <w:numPr>
          <w:ilvl w:val="0"/>
          <w:numId w:val="2"/>
        </w:numPr>
        <w:spacing w:after="100" w:line="300"/>
      </w:pPr>
      <w:r>
        <w:rPr>
          <w:rFonts w:ascii="Geist" w:cs="Geist" w:eastAsia="Geist" w:hAnsi="Geist"/>
          <w:color w:val="3A3A42"/>
          <w:sz w:val="21"/>
          <w:szCs w:val="21"/>
        </w:rPr>
        <w:t xml:space="preserve">Source code is held in escrow with an independent agent, released to BCJS if Scout ceases to trade or fails to support the platform.</w:t>
      </w:r>
    </w:p>
    <w:p>
      <w:pPr>
        <w:pStyle w:val="ListParagraph"/>
        <w:numPr>
          <w:ilvl w:val="0"/>
          <w:numId w:val="2"/>
        </w:numPr>
        <w:spacing w:after="100" w:line="300"/>
      </w:pPr>
      <w:r>
        <w:rPr>
          <w:rFonts w:ascii="Geist" w:cs="Geist" w:eastAsia="Geist" w:hAnsi="Geist"/>
          <w:color w:val="3A3A42"/>
          <w:sz w:val="21"/>
          <w:szCs w:val="21"/>
        </w:rPr>
        <w:t xml:space="preserve">Fair use for AI covers typical SME volumes, for example up to 1,500 document extractions and 3,000 assistant questions a month. Scout will agree a usage review if volumes exceed this.</w:t>
      </w:r>
    </w:p>
    <w:p>
      <w:pPr>
        <w:pStyle w:val="Heading2"/>
        <w:keepNext/>
        <w:spacing w:after="140" w:before="300"/>
      </w:pPr>
      <w:r>
        <w:rPr>
          <w:rFonts w:ascii="Geist" w:cs="Geist" w:eastAsia="Geist" w:hAnsi="Geist"/>
          <w:b/>
          <w:bCs/>
          <w:color w:val="1B1B1F"/>
          <w:sz w:val="27"/>
          <w:szCs w:val="27"/>
        </w:rPr>
        <w:t xml:space="preserve">6.3 Comparing the options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312"/>
      </w:tblGrid>
      <w:tr>
        <w:trPr>
          <w:cantSplit/>
          <w:tblHeader/>
        </w:trPr>
        <w:tc>
          <w:tcPr>
            <w:tcW w:type="dxa" w:w="2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MEASURE</w:t>
            </w:r>
          </w:p>
        </w:tc>
        <w:tc>
          <w:tcPr>
            <w:tcW w:type="dxa" w:w="33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1: BCJS OWNS</w:t>
            </w:r>
          </w:p>
        </w:tc>
        <w:tc>
          <w:tcPr>
            <w:tcW w:type="dxa" w:w="33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OPTION 2: LICENCE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in the first 12 months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£106,500</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£64,000</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over 3 years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£148,550</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£134,800</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Cost over 5 years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£189,350</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£205,600</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Who owns the software</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(buy-out available)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Who runs and patches it</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under retainer, or any supplier</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Scout, included</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Future product improvements</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Commissioned separately</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Included</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Best for</w:t>
            </w:r>
          </w:p>
        </w:tc>
        <w:tc>
          <w:tcPr>
            <w:tcW w:type="dxa" w:w="33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wants an asset it controls long term</w:t>
            </w:r>
          </w:p>
        </w:tc>
        <w:tc>
          <w:tcPr>
            <w:tcW w:type="dxa" w:w="33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BCJS wants lower upfront spend and a managed service</w:t>
            </w:r>
          </w:p>
        </w:tc>
      </w:tr>
    </w:tbl>
    <w:p>
      <w:pPr>
        <w:spacing w:after="200"/>
      </w:pPr>
    </w:p>
    <w:p>
      <w:pPr>
        <w:spacing w:after="160" w:line="300"/>
      </w:pPr>
      <w:r>
        <w:rPr>
          <w:rFonts w:ascii="Geist" w:cs="Geist" w:eastAsia="Geist" w:hAnsi="Geist"/>
          <w:color w:val="6A6A75"/>
          <w:sz w:val="18"/>
          <w:szCs w:val="18"/>
        </w:rPr>
        <w:t xml:space="preserve">Comparison assumptions: R1 goes live in month 3 and R6 in month 11. Option 1 includes the optional support retainer from month 12 and running costs at an estimated £450 a month from month 3. Option 2 licence runs from month 3 with no uplift applied. All fees exclude VAT. Option 2 is cheaper for roughly the first four years; Option 1 is cheaper thereafter and leaves BCJS owning the asset.</w:t>
      </w:r>
    </w:p>
    <w:p>
      <w:pPr>
        <w:spacing w:after="120"/>
      </w:pPr>
    </w:p>
    <w:p>
      <w:pPr>
        <w:pStyle w:val="ListParagraph"/>
        <w:numPr>
          <w:ilvl w:val="0"/>
          <w:numId w:val="2"/>
        </w:numPr>
        <w:spacing w:after="100" w:line="300"/>
      </w:pPr>
      <w:r>
        <w:rPr>
          <w:rFonts w:ascii="Geist" w:cs="Geist" w:eastAsia="Geist" w:hAnsi="Geist"/>
          <w:color w:val="3A3A42"/>
          <w:sz w:val="21"/>
          <w:szCs w:val="21"/>
        </w:rPr>
        <w:t xml:space="preserve">Fees are exclusive of VAT and any pre-agreed travel.</w:t>
      </w:r>
    </w:p>
    <w:p>
      <w:pPr>
        <w:pStyle w:val="ListParagraph"/>
        <w:numPr>
          <w:ilvl w:val="0"/>
          <w:numId w:val="2"/>
        </w:numPr>
        <w:spacing w:after="100" w:line="300"/>
      </w:pPr>
      <w:r>
        <w:rPr>
          <w:rFonts w:ascii="Geist" w:cs="Geist" w:eastAsia="Geist" w:hAnsi="Geist"/>
          <w:color w:val="3A3A42"/>
          <w:sz w:val="21"/>
          <w:szCs w:val="21"/>
        </w:rPr>
        <w:t xml:space="preserve">No variation to fee or scope takes effect without a change note signed by both parties.</w:t>
      </w:r>
    </w:p>
    <w:p>
      <w:pPr>
        <w:pStyle w:val="Heading1"/>
        <w:keepNext/>
        <w:spacing w:after="200" w:before="400"/>
      </w:pPr>
      <w:r>
        <w:rPr>
          <w:rFonts w:ascii="Geist" w:cs="Geist" w:eastAsia="Geist" w:hAnsi="Geist"/>
          <w:b/>
          <w:bCs/>
          <w:color w:val="1B1B1F"/>
          <w:spacing w:val="-8"/>
          <w:sz w:val="38"/>
          <w:szCs w:val="38"/>
        </w:rPr>
        <w:t xml:space="preserve">7. Assumptions and dependencies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6712"/>
        <w:gridCol w:w="1800"/>
      </w:tblGrid>
      <w:tr>
        <w:trPr>
          <w:cantSplit/>
          <w:tblHeader/>
        </w:trPr>
        <w:tc>
          <w:tcPr>
            <w:tcW w:type="dxa" w:w="9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REF</w:t>
            </w:r>
          </w:p>
        </w:tc>
        <w:tc>
          <w:tcPr>
            <w:tcW w:type="dxa" w:w="67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ASSUMPTION OR DEPENDENCY</w:t>
            </w:r>
          </w:p>
        </w:tc>
        <w:tc>
          <w:tcPr>
            <w:tcW w:type="dxa" w:w="1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OWNER</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A1</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Microsoft 365 Global Admin grants app consent and provisions a shared estimating mailbox within 10 working days of R1 start</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A2</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Xero adviser access and consent to connect the BCJS organisation by R4 start</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A3</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 named process owner per department joins R0 workshops and each release sign-off; Lucy Milne is product owner</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A4</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Cost code structure and approval limits agreed during R2</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A5</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Microsoft 365 licence level confirmed in R0; Teams channels per project may need Business Standard or above</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A6</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Live project and current-year estimate data available for migration in usable form (Excel or export)</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BCJS</w:t>
            </w:r>
          </w:p>
        </w:tc>
      </w:tr>
      <w:tr>
        <w:trPr>
          <w:cantSplit/>
        </w:trPr>
        <w:tc>
          <w:tcPr>
            <w:tcW w:type="dxa" w:w="9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D1</w:t>
            </w:r>
          </w:p>
        </w:tc>
        <w:tc>
          <w:tcPr>
            <w:tcW w:type="dxa" w:w="67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Xero and Microsoft API terms and pricing remain available on current terms</w:t>
            </w:r>
          </w:p>
        </w:tc>
        <w:tc>
          <w:tcPr>
            <w:tcW w:type="dxa" w:w="1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Third party</w:t>
            </w:r>
          </w:p>
        </w:tc>
      </w:tr>
    </w:tbl>
    <w:p>
      <w:pPr>
        <w:pStyle w:val="Heading1"/>
        <w:keepNext/>
        <w:spacing w:after="200" w:before="400"/>
      </w:pPr>
      <w:r>
        <w:rPr>
          <w:rFonts w:ascii="Geist" w:cs="Geist" w:eastAsia="Geist" w:hAnsi="Geist"/>
          <w:b/>
          <w:bCs/>
          <w:color w:val="1B1B1F"/>
          <w:spacing w:val="-8"/>
          <w:sz w:val="38"/>
          <w:szCs w:val="38"/>
        </w:rPr>
        <w:t xml:space="preserve">8. Team</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812"/>
      </w:tblGrid>
      <w:tr>
        <w:trPr>
          <w:cantSplit/>
          <w:tblHeader/>
        </w:trPr>
        <w:tc>
          <w:tcPr>
            <w:tcW w:type="dxa" w:w="2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NAME</w:t>
            </w:r>
          </w:p>
        </w:tc>
        <w:tc>
          <w:tcPr>
            <w:tcW w:type="dxa" w:w="3800"/>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ROLE</w:t>
            </w:r>
          </w:p>
        </w:tc>
        <w:tc>
          <w:tcPr>
            <w:tcW w:type="dxa" w:w="2812"/>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COMMITMENT</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Stuart Arthur</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Engagement lead and product owner for Scout</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Throughout, weekly with BCJS</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Scout delivery team</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AI-native engineering, design and test using 10×</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Per release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Scout assurance lead</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Security, data protection and release sign-off</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At each gate</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Lucy Milne (BCJS)</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Product owner, release signatory</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Weekly review, sign-offs</w:t>
            </w:r>
          </w:p>
        </w:tc>
      </w:tr>
      <w:tr>
        <w:trPr>
          <w:cantSplit/>
        </w:trPr>
        <w:tc>
          <w:tcPr>
            <w:tcW w:type="dxa" w:w="2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BCJS department leads</w:t>
            </w:r>
          </w:p>
        </w:tc>
        <w:tc>
          <w:tcPr>
            <w:tcW w:type="dxa" w:w="3800"/>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Process owners: commercial, finance, site, H&amp;S</w:t>
            </w:r>
          </w:p>
        </w:tc>
        <w:tc>
          <w:tcPr>
            <w:tcW w:type="dxa" w:w="2812"/>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Workshops and witnessed sign-offs</w:t>
            </w:r>
          </w:p>
        </w:tc>
      </w:tr>
    </w:tbl>
    <w:p>
      <w:pPr>
        <w:pStyle w:val="Heading1"/>
        <w:keepNext/>
        <w:spacing w:after="200" w:before="400"/>
      </w:pPr>
      <w:r>
        <w:rPr>
          <w:rFonts w:ascii="Geist" w:cs="Geist" w:eastAsia="Geist" w:hAnsi="Geist"/>
          <w:b/>
          <w:bCs/>
          <w:color w:val="1B1B1F"/>
          <w:spacing w:val="-8"/>
          <w:sz w:val="38"/>
          <w:szCs w:val="38"/>
        </w:rPr>
        <w:t xml:space="preserve">9. Next step</w:t>
      </w:r>
    </w:p>
    <w:p>
      <w:pPr>
        <w:spacing w:after="160" w:line="300"/>
      </w:pPr>
      <w:r>
        <w:rPr>
          <w:rFonts w:ascii="Geist" w:cs="Geist" w:eastAsia="Geist" w:hAnsi="Geist"/>
          <w:color w:val="3A3A42"/>
          <w:sz w:val="21"/>
          <w:szCs w:val="21"/>
        </w:rPr>
        <w:t xml:space="preserve">Explore the prototype with the team and log feedback against each screen. Then choose an option. We start R0 with a half-day session on BCJS's real jobs, so the team experiences the system working on their own work rather than hearing it described.</w:t>
      </w:r>
    </w:p>
    <w:p>
      <w:pPr>
        <w:spacing w:after="160" w:line="300"/>
      </w:pPr>
      <w:r>
        <w:rPr>
          <w:rFonts w:ascii="Geist" w:cs="Geist" w:eastAsia="Geist" w:hAnsi="Geist"/>
          <w:color w:val="3A3A42"/>
          <w:sz w:val="21"/>
          <w:szCs w:val="21"/>
        </w:rPr>
        <w:t xml:space="preserve">To proceed, confirm your preferred option by reply and we will issue the engagement letter within two working days.</w:t>
      </w:r>
    </w:p>
    <w:p>
      <w:pPr>
        <w:spacing w:after="300" w:before="200"/>
      </w:pPr>
      <w:r>
        <w:drawing>
          <wp:inline distT="0" distB="0" distL="0" distR="0">
            <wp:extent cx="1428750" cy="2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28575"/>
                    </a:xfrm>
                    <a:prstGeom prst="rect">
                      <a:avLst/>
                    </a:prstGeom>
                  </pic:spPr>
                </pic:pic>
              </a:graphicData>
            </a:graphic>
          </wp:inline>
        </w:drawing>
      </w:r>
    </w:p>
    <w:p>
      <w:pPr>
        <w:pStyle w:val="Heading2"/>
        <w:keepNext/>
        <w:spacing w:after="140" w:before="300"/>
      </w:pPr>
      <w:r>
        <w:rPr>
          <w:rFonts w:ascii="Geist" w:cs="Geist" w:eastAsia="Geist" w:hAnsi="Geist"/>
          <w:b/>
          <w:bCs/>
          <w:color w:val="1B1B1F"/>
          <w:sz w:val="27"/>
          <w:szCs w:val="27"/>
        </w:rPr>
        <w:t xml:space="preserve">Acceptance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blHeader/>
        </w:trPr>
        <w:tc>
          <w:tcPr>
            <w:tcW w:type="dxa" w:w="4706"/>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FOR BESPOKE CONSTRUCTION &amp; JOINERY SOLUTIONS LTD</w:t>
            </w:r>
          </w:p>
        </w:tc>
        <w:tc>
          <w:tcPr>
            <w:tcW w:type="dxa" w:w="4706"/>
            <w:tcBorders>
              <w:top w:val="none" w:color="auto" w:sz="0"/>
              <w:left w:val="none" w:color="auto" w:sz="0"/>
              <w:bottom w:val="single" w:color="1B1B1F"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6A6A75"/>
                <w:spacing w:val="30"/>
                <w:sz w:val="17"/>
                <w:szCs w:val="17"/>
              </w:rPr>
              <w:t xml:space="preserve">FOR SCOUT AI GROUP</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Option chosen</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Option chosen</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Signature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Signature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Name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Name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bCs/>
                <w:color w:val="1B1B1F"/>
                <w:sz w:val="20"/>
                <w:szCs w:val="20"/>
              </w:rPr>
              <w:t xml:space="preserve">Role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spacing w:after="0" w:line="280"/>
            </w:pPr>
            <w:r>
              <w:rPr>
                <w:rFonts w:ascii="Geist" w:cs="Geist" w:eastAsia="Geist" w:hAnsi="Geist"/>
                <w:b w:val="false"/>
                <w:bCs w:val="false"/>
                <w:color w:val="3A3A42"/>
                <w:sz w:val="20"/>
                <w:szCs w:val="20"/>
              </w:rPr>
              <w:t xml:space="preserve">Role</w:t>
            </w:r>
          </w:p>
        </w:tc>
      </w:tr>
      <w:tr>
        <w:trPr>
          <w:cantSplit/>
          <w:trHeight w:val="620" w:hRule="atLeast"/>
        </w:trPr>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bCs/>
                <w:color w:val="1B1B1F"/>
                <w:sz w:val="20"/>
                <w:szCs w:val="20"/>
              </w:rPr>
              <w:t xml:space="preserve">Date</w:t>
            </w:r>
          </w:p>
        </w:tc>
        <w:tc>
          <w:tcPr>
            <w:tcW w:type="dxa" w:w="4706"/>
            <w:tcBorders>
              <w:top w:val="none" w:color="auto" w:sz="0"/>
              <w:left w:val="none" w:color="auto" w:sz="0"/>
              <w:bottom w:val="single" w:color="E6E5E0" w:sz="4"/>
              <w:right w:val="none" w:color="auto" w:sz="0"/>
            </w:tcBorders>
            <w:tcMar>
              <w:top w:type="dxa" w:w="130"/>
              <w:left w:type="dxa" w:w="140"/>
              <w:bottom w:type="dxa" w:w="130"/>
              <w:right w:type="dxa" w:w="140"/>
            </w:tcMar>
          </w:tcPr>
          <w:p>
            <w:pPr>
              <w:keepNext w:val="false"/>
              <w:spacing w:after="0" w:line="280"/>
            </w:pPr>
            <w:r>
              <w:rPr>
                <w:rFonts w:ascii="Geist" w:cs="Geist" w:eastAsia="Geist" w:hAnsi="Geist"/>
                <w:b w:val="false"/>
                <w:bCs w:val="false"/>
                <w:color w:val="3A3A42"/>
                <w:sz w:val="20"/>
                <w:szCs w:val="20"/>
              </w:rPr>
              <w:t xml:space="preserve">Date</w:t>
            </w:r>
          </w:p>
        </w:tc>
      </w:tr>
    </w:tbl>
    <w:sectPr>
      <w:headerReference w:type="default" r:id="rId7"/>
      <w:headerReference w:type="first" r:id="rId8"/>
      <w:footerReference w:type="default" r:id="rId9"/>
      <w:footerReference w:type="first" r:id="rId10"/>
      <w:pgSz w:w="11906" w:h="16838" w:orient="portrait"/>
      <w:pgMar w:top="1440" w:right="1247" w:bottom="1440"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rFonts w:ascii="Geist" w:cs="Geist" w:eastAsia="Geist" w:hAnsi="Geist"/>
        <w:color w:val="9A9AA6"/>
        <w:sz w:val="18"/>
        <w:szCs w:val="18"/>
      </w:rPr>
      <w:t xml:space="preserve">Commercial in confidence · Draft 0.1</w:t>
    </w:r>
    <w:r>
      <w:rPr>
        <w:rFonts w:ascii="Geist" w:cs="Geist" w:eastAsia="Geist" w:hAnsi="Geist"/>
        <w:sz w:val="18"/>
        <w:szCs w:val="18"/>
      </w:rPr>
      <w:t xml:space="preserve">	</w:t>
    </w:r>
    <w:r>
      <w:rPr>
        <w:rFonts w:ascii="Geist" w:cs="Geist" w:eastAsia="Geist" w:hAnsi="Geist"/>
        <w:color w:val="6A6A75"/>
        <w:sz w:val="18"/>
        <w:szCs w:val="18"/>
      </w:rPr>
      <w:fldChar w:fldCharType="begin"/>
      <w:instrText xml:space="preserve">PAGE</w:instrText>
      <w:fldChar w:fldCharType="separate"/>
      <w:fldChar w:fldCharType="end"/>
    </w:r>
    <w:r>
      <w:rPr>
        <w:rFonts w:ascii="Geist" w:cs="Geist" w:eastAsia="Geist" w:hAnsi="Geist"/>
        <w:color w:val="9A9AA6"/>
        <w:sz w:val="18"/>
        <w:szCs w:val="18"/>
      </w:rPr>
      <w:t xml:space="preserve"> / </w:t>
    </w:r>
    <w:r>
      <w:rPr>
        <w:rFonts w:ascii="Geist" w:cs="Geist" w:eastAsia="Geist" w:hAnsi="Geist"/>
        <w:color w:val="9A9AA6"/>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412"/>
      </w:tabs>
      <w:spacing w:after="40"/>
    </w:pPr>
    <w:r>
      <w:rPr>
        <w:rFonts w:ascii="Geist" w:cs="Geist" w:eastAsia="Geist" w:hAnsi="Geist"/>
        <w:b/>
        <w:bCs/>
        <w:color w:val="1B1B1F"/>
        <w:sz w:val="18"/>
        <w:szCs w:val="18"/>
      </w:rPr>
      <w:t xml:space="preserve">Scout AI Group</w:t>
    </w:r>
    <w:r>
      <w:rPr>
        <w:rFonts w:ascii="Geist" w:cs="Geist" w:eastAsia="Geist" w:hAnsi="Geist"/>
        <w:color w:val="9A9AA6"/>
        <w:sz w:val="18"/>
        <w:szCs w:val="18"/>
      </w:rPr>
      <w:t xml:space="preserve">	Proposal — Bespoke Construction &amp; Joinery Solutions Ltd</w:t>
    </w:r>
  </w:p>
  <w:p>
    <w:pPr>
      <w:pBdr>
        <w:bottom w:val="single" w:color="E6E5E0" w:sz="4" w:space="4"/>
      </w:pBdr>
    </w:pPr>
    <w:r>
      <w:rP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403"/>
      </w:pPr>
      <w:rPr>
        <w:rFonts w:ascii="Geist" w:cs="Geist" w:eastAsia="Geist" w:hAnsi="Geist"/>
        <w:color w:val="5A8B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ist" w:cs="Geist" w:eastAsia="Geist" w:hAnsi="Geist"/>
        <w:color w:val="3A3A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ist" w:cs="Geist" w:eastAsia="Geist" w:hAnsi="Geist"/>
      <w:b/>
      <w:bCs/>
      <w:color w:val="1B1B1F"/>
      <w:sz w:val="38"/>
      <w:szCs w:val="38"/>
    </w:rPr>
  </w:style>
  <w:style w:type="paragraph" w:styleId="Heading2">
    <w:name w:val="Heading 2"/>
    <w:basedOn w:val="Normal"/>
    <w:next w:val="Normal"/>
    <w:qFormat/>
    <w:pPr>
      <w:outlineLvl w:val="1"/>
    </w:pPr>
    <w:rPr>
      <w:rFonts w:ascii="Geist" w:cs="Geist" w:eastAsia="Geist" w:hAnsi="Geist"/>
      <w:b/>
      <w:bCs/>
      <w:color w:val="1B1B1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a9641d919ffef3a0dc042602161547de53a8233.png"/><Relationship Id="rId12" Type="http://schemas.openxmlformats.org/officeDocument/2006/relationships/image" Target="media/0189c809b255bf4b7f153ab5ed4a31b3b92bd95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BCJS Operations Control System — Proposal</dc:title>
  <dc:creator>Scout AI Group</dc:creator>
  <dc:description>Scout AI Group proposal for Bespoke Construction &amp; Joinery Solutions Ltd</dc:description>
  <cp:lastModifiedBy>Un-named</cp:lastModifiedBy>
  <cp:revision>1</cp:revision>
  <dcterms:created xsi:type="dcterms:W3CDTF">2026-10-20T22:38:24.723Z</dcterms:created>
  <dcterms:modified xsi:type="dcterms:W3CDTF">2026-10-20T22:38:24.723Z</dcterms:modified>
</cp:coreProperties>
</file>

<file path=docProps/custom.xml><?xml version="1.0" encoding="utf-8"?>
<Properties xmlns="http://schemas.openxmlformats.org/officeDocument/2006/custom-properties" xmlns:vt="http://schemas.openxmlformats.org/officeDocument/2006/docPropsVTypes"/>
</file>