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DA33F" w14:textId="5256094F" w:rsidR="002D3644" w:rsidRPr="00BD484C" w:rsidRDefault="00E73853" w:rsidP="00BD484C">
      <w:pPr>
        <w:spacing w:line="276" w:lineRule="auto"/>
        <w:rPr>
          <w:rFonts w:asciiTheme="majorHAnsi" w:hAnsiTheme="majorHAnsi" w:cstheme="majorHAnsi"/>
          <w:b/>
          <w:bCs/>
          <w:sz w:val="32"/>
          <w:szCs w:val="32"/>
          <w:u w:val="single"/>
        </w:rPr>
      </w:pPr>
      <w:r w:rsidRPr="00BD484C">
        <w:rPr>
          <w:rFonts w:asciiTheme="majorHAnsi" w:hAnsiTheme="majorHAnsi" w:cstheme="majorHAnsi"/>
          <w:b/>
          <w:bCs/>
          <w:sz w:val="32"/>
          <w:szCs w:val="32"/>
          <w:u w:val="single"/>
        </w:rPr>
        <w:t>Simple formula for the calculation of CO</w:t>
      </w:r>
      <w:r w:rsidRPr="00BD484C">
        <w:rPr>
          <w:rFonts w:asciiTheme="majorHAnsi" w:hAnsiTheme="majorHAnsi" w:cstheme="majorHAnsi"/>
          <w:b/>
          <w:bCs/>
          <w:sz w:val="32"/>
          <w:szCs w:val="32"/>
          <w:u w:val="single"/>
          <w:vertAlign w:val="subscript"/>
        </w:rPr>
        <w:t>2</w:t>
      </w:r>
      <w:r w:rsidRPr="00BD484C">
        <w:rPr>
          <w:rFonts w:asciiTheme="majorHAnsi" w:hAnsiTheme="majorHAnsi" w:cstheme="majorHAnsi"/>
          <w:b/>
          <w:bCs/>
          <w:sz w:val="32"/>
          <w:szCs w:val="32"/>
          <w:u w:val="single"/>
        </w:rPr>
        <w:t>-fe carbon budgets</w:t>
      </w:r>
    </w:p>
    <w:p w14:paraId="77656EED" w14:textId="15BEFBE3" w:rsidR="00BD484C" w:rsidRDefault="00BD484C" w:rsidP="00BD484C">
      <w:pPr>
        <w:spacing w:line="276" w:lineRule="auto"/>
        <w:rPr>
          <w:sz w:val="20"/>
          <w:szCs w:val="20"/>
        </w:rPr>
      </w:pPr>
      <w:r w:rsidRPr="00BD484C">
        <w:rPr>
          <w:sz w:val="20"/>
          <w:szCs w:val="20"/>
        </w:rPr>
        <w:t>Stuart Jenkins</w:t>
      </w:r>
      <w:r w:rsidRPr="00BD484C">
        <w:rPr>
          <w:sz w:val="20"/>
          <w:szCs w:val="20"/>
          <w:vertAlign w:val="superscript"/>
        </w:rPr>
        <w:t>1</w:t>
      </w:r>
      <w:r>
        <w:rPr>
          <w:sz w:val="20"/>
          <w:szCs w:val="20"/>
        </w:rPr>
        <w:t>, Michelle Cain</w:t>
      </w:r>
      <w:r w:rsidRPr="00BD484C">
        <w:rPr>
          <w:sz w:val="20"/>
          <w:szCs w:val="20"/>
          <w:vertAlign w:val="superscript"/>
        </w:rPr>
        <w:t>2</w:t>
      </w:r>
      <w:r>
        <w:rPr>
          <w:sz w:val="20"/>
          <w:szCs w:val="20"/>
        </w:rPr>
        <w:t xml:space="preserve"> &amp; Myles Allen</w:t>
      </w:r>
      <w:r w:rsidRPr="00BD484C">
        <w:rPr>
          <w:sz w:val="20"/>
          <w:szCs w:val="20"/>
          <w:vertAlign w:val="superscript"/>
        </w:rPr>
        <w:t>1,2</w:t>
      </w:r>
    </w:p>
    <w:p w14:paraId="62E2C508" w14:textId="22DA26A4" w:rsidR="00BD484C" w:rsidRPr="00BD484C" w:rsidRDefault="00BD484C" w:rsidP="00BD484C">
      <w:pPr>
        <w:rPr>
          <w:sz w:val="15"/>
          <w:szCs w:val="15"/>
        </w:rPr>
      </w:pPr>
      <w:r w:rsidRPr="00BD484C">
        <w:rPr>
          <w:sz w:val="15"/>
          <w:szCs w:val="15"/>
        </w:rPr>
        <w:t>1 – Dept. of Physics, University of Oxford, Parks Road, Oxford, UK, OX1</w:t>
      </w:r>
    </w:p>
    <w:p w14:paraId="7F52D4B7" w14:textId="26091D13" w:rsidR="00BD484C" w:rsidRPr="00BD484C" w:rsidRDefault="00BD484C" w:rsidP="00BD484C">
      <w:pPr>
        <w:rPr>
          <w:sz w:val="15"/>
          <w:szCs w:val="15"/>
        </w:rPr>
      </w:pPr>
      <w:r w:rsidRPr="00BD484C">
        <w:rPr>
          <w:sz w:val="15"/>
          <w:szCs w:val="15"/>
        </w:rPr>
        <w:t xml:space="preserve">2 – Environmental Change Institute, OUCE, Oxford, UK, OX1 </w:t>
      </w:r>
    </w:p>
    <w:p w14:paraId="5276DC5A" w14:textId="34F05365" w:rsidR="00E73853" w:rsidRDefault="00E73853"/>
    <w:p w14:paraId="7F3521EE" w14:textId="5D694C0F" w:rsidR="00E73853" w:rsidRDefault="00E73853" w:rsidP="00E73853">
      <w:pPr>
        <w:jc w:val="both"/>
        <w:rPr>
          <w:rFonts w:cstheme="minorHAnsi"/>
          <w:sz w:val="20"/>
          <w:szCs w:val="28"/>
        </w:rPr>
      </w:pPr>
      <w:r w:rsidRPr="009F25EB">
        <w:rPr>
          <w:rFonts w:cstheme="minorHAnsi"/>
          <w:sz w:val="20"/>
          <w:szCs w:val="28"/>
        </w:rPr>
        <w:t>A simple way of accounting for non-CO</w:t>
      </w:r>
      <w:r w:rsidRPr="009F25EB">
        <w:rPr>
          <w:rFonts w:cstheme="minorHAnsi"/>
          <w:sz w:val="20"/>
          <w:szCs w:val="28"/>
          <w:vertAlign w:val="subscript"/>
        </w:rPr>
        <w:t>2</w:t>
      </w:r>
      <w:r w:rsidRPr="009F25EB">
        <w:rPr>
          <w:rFonts w:cstheme="minorHAnsi"/>
          <w:sz w:val="20"/>
          <w:szCs w:val="28"/>
        </w:rPr>
        <w:t xml:space="preserve"> forcing in carbon budgets is to convert everything to CO</w:t>
      </w:r>
      <w:r w:rsidRPr="009F25EB">
        <w:rPr>
          <w:rFonts w:cstheme="minorHAnsi"/>
          <w:sz w:val="20"/>
          <w:szCs w:val="28"/>
          <w:vertAlign w:val="subscript"/>
        </w:rPr>
        <w:t>2</w:t>
      </w:r>
      <w:r w:rsidRPr="009F25EB">
        <w:rPr>
          <w:rFonts w:cstheme="minorHAnsi"/>
          <w:sz w:val="20"/>
          <w:szCs w:val="28"/>
        </w:rPr>
        <w:t xml:space="preserve"> forcing-equivalent (CO</w:t>
      </w:r>
      <w:r w:rsidRPr="009F25EB">
        <w:rPr>
          <w:rFonts w:cstheme="minorHAnsi"/>
          <w:sz w:val="20"/>
          <w:szCs w:val="28"/>
          <w:vertAlign w:val="subscript"/>
        </w:rPr>
        <w:t>2</w:t>
      </w:r>
      <w:r w:rsidRPr="009F25EB">
        <w:rPr>
          <w:rFonts w:cstheme="minorHAnsi"/>
          <w:sz w:val="20"/>
          <w:szCs w:val="28"/>
        </w:rPr>
        <w:t>-fe) emissions, or the time-history of CO</w:t>
      </w:r>
      <w:r w:rsidRPr="009F25EB">
        <w:rPr>
          <w:rFonts w:cstheme="minorHAnsi"/>
          <w:sz w:val="20"/>
          <w:szCs w:val="28"/>
          <w:vertAlign w:val="subscript"/>
        </w:rPr>
        <w:t>2</w:t>
      </w:r>
      <w:r w:rsidRPr="009F25EB">
        <w:rPr>
          <w:rFonts w:cstheme="minorHAnsi"/>
          <w:sz w:val="20"/>
          <w:szCs w:val="28"/>
        </w:rPr>
        <w:t xml:space="preserve"> emissions that would give a particular radiative forcing path </w:t>
      </w:r>
      <m:oMath>
        <m:r>
          <w:rPr>
            <w:rFonts w:ascii="Cambria Math" w:hAnsi="Cambria Math" w:cstheme="minorHAnsi"/>
            <w:sz w:val="20"/>
            <w:szCs w:val="28"/>
          </w:rPr>
          <m:t>F</m:t>
        </m:r>
      </m:oMath>
      <w:r w:rsidRPr="009F25EB">
        <w:rPr>
          <w:rFonts w:cstheme="minorHAnsi"/>
          <w:sz w:val="20"/>
          <w:szCs w:val="28"/>
        </w:rPr>
        <w:t xml:space="preserve">. </w:t>
      </w:r>
      <w:r>
        <w:rPr>
          <w:rFonts w:cstheme="minorHAnsi"/>
          <w:sz w:val="20"/>
          <w:szCs w:val="28"/>
        </w:rPr>
        <w:t>This provides the most accurate definition of an ‘all-pollutants CO</w:t>
      </w:r>
      <w:r w:rsidRPr="00B70584">
        <w:rPr>
          <w:rFonts w:cstheme="minorHAnsi"/>
          <w:sz w:val="20"/>
          <w:szCs w:val="28"/>
          <w:vertAlign w:val="subscript"/>
        </w:rPr>
        <w:t>2</w:t>
      </w:r>
      <w:r>
        <w:rPr>
          <w:rFonts w:cstheme="minorHAnsi"/>
          <w:sz w:val="20"/>
          <w:szCs w:val="28"/>
        </w:rPr>
        <w:t xml:space="preserve"> budget’ and </w:t>
      </w:r>
      <w:proofErr w:type="gramStart"/>
      <w:r>
        <w:rPr>
          <w:rFonts w:cstheme="minorHAnsi"/>
          <w:sz w:val="20"/>
          <w:szCs w:val="28"/>
        </w:rPr>
        <w:t>is discussed</w:t>
      </w:r>
      <w:proofErr w:type="gramEnd"/>
      <w:r>
        <w:rPr>
          <w:rFonts w:cstheme="minorHAnsi"/>
          <w:sz w:val="20"/>
          <w:szCs w:val="28"/>
        </w:rPr>
        <w:t xml:space="preserve"> in detail in Jenkins </w:t>
      </w:r>
      <w:r w:rsidRPr="00B70584">
        <w:rPr>
          <w:rFonts w:cstheme="minorHAnsi"/>
          <w:i/>
          <w:iCs/>
          <w:sz w:val="20"/>
          <w:szCs w:val="28"/>
        </w:rPr>
        <w:t>et al.</w:t>
      </w:r>
      <w:r w:rsidR="005E2790">
        <w:rPr>
          <w:rFonts w:cstheme="minorHAnsi"/>
          <w:sz w:val="20"/>
          <w:szCs w:val="28"/>
        </w:rPr>
        <w:t xml:space="preserve"> ,2019 (in prep)</w:t>
      </w:r>
      <w:r>
        <w:rPr>
          <w:rFonts w:cstheme="minorHAnsi"/>
          <w:sz w:val="20"/>
          <w:szCs w:val="28"/>
        </w:rPr>
        <w:t xml:space="preserve">. </w:t>
      </w:r>
      <w:r w:rsidRPr="009F25EB">
        <w:rPr>
          <w:rFonts w:cstheme="minorHAnsi"/>
          <w:sz w:val="20"/>
          <w:szCs w:val="28"/>
        </w:rPr>
        <w:t>This requires an invertible carbon cycle model, but on decade</w:t>
      </w:r>
      <w:r w:rsidR="005E2790">
        <w:rPr>
          <w:rFonts w:cstheme="minorHAnsi"/>
          <w:sz w:val="20"/>
          <w:szCs w:val="28"/>
        </w:rPr>
        <w:t>-</w:t>
      </w:r>
      <w:r w:rsidRPr="009F25EB">
        <w:rPr>
          <w:rFonts w:cstheme="minorHAnsi"/>
          <w:sz w:val="20"/>
          <w:szCs w:val="28"/>
        </w:rPr>
        <w:t>to</w:t>
      </w:r>
      <w:r w:rsidR="005E2790">
        <w:rPr>
          <w:rFonts w:cstheme="minorHAnsi"/>
          <w:sz w:val="20"/>
          <w:szCs w:val="28"/>
        </w:rPr>
        <w:t>-</w:t>
      </w:r>
      <w:r w:rsidRPr="009F25EB">
        <w:rPr>
          <w:rFonts w:cstheme="minorHAnsi"/>
          <w:sz w:val="20"/>
          <w:szCs w:val="28"/>
        </w:rPr>
        <w:t>century timescales CO</w:t>
      </w:r>
      <w:r w:rsidRPr="009F25EB">
        <w:rPr>
          <w:rFonts w:cstheme="minorHAnsi"/>
          <w:sz w:val="20"/>
          <w:szCs w:val="28"/>
          <w:vertAlign w:val="subscript"/>
        </w:rPr>
        <w:t>2</w:t>
      </w:r>
      <w:r w:rsidRPr="009F25EB">
        <w:rPr>
          <w:rFonts w:cstheme="minorHAnsi"/>
          <w:sz w:val="20"/>
          <w:szCs w:val="28"/>
        </w:rPr>
        <w:t xml:space="preserve">-fe emissions may </w:t>
      </w:r>
      <w:proofErr w:type="gramStart"/>
      <w:r w:rsidRPr="009F25EB">
        <w:rPr>
          <w:rFonts w:cstheme="minorHAnsi"/>
          <w:sz w:val="20"/>
          <w:szCs w:val="28"/>
        </w:rPr>
        <w:t>be approximated</w:t>
      </w:r>
      <w:proofErr w:type="gramEnd"/>
      <w:r w:rsidRPr="009F25EB">
        <w:rPr>
          <w:rFonts w:cstheme="minorHAnsi"/>
          <w:sz w:val="20"/>
          <w:szCs w:val="28"/>
        </w:rPr>
        <w:t xml:space="preserve"> by the following relationship</w:t>
      </w:r>
    </w:p>
    <w:p w14:paraId="25587C0C" w14:textId="77777777" w:rsidR="00E73853" w:rsidRPr="009F25EB" w:rsidRDefault="00E73853" w:rsidP="00E73853">
      <w:pPr>
        <w:jc w:val="both"/>
        <w:rPr>
          <w:rFonts w:cstheme="minorHAnsi"/>
          <w:sz w:val="15"/>
          <w:szCs w:val="28"/>
        </w:rPr>
      </w:pPr>
    </w:p>
    <w:p w14:paraId="225E8A50" w14:textId="6D60239A" w:rsidR="00E73853" w:rsidRPr="009F25EB" w:rsidRDefault="00E73853" w:rsidP="00E73853">
      <w:pPr>
        <w:jc w:val="center"/>
        <w:rPr>
          <w:rFonts w:cstheme="minorHAnsi"/>
          <w:sz w:val="20"/>
          <w:szCs w:val="28"/>
        </w:rPr>
      </w:pPr>
      <m:oMath>
        <m:sSub>
          <m:sSubPr>
            <m:ctrlPr>
              <w:rPr>
                <w:rFonts w:ascii="Cambria Math" w:hAnsi="Cambria Math" w:cstheme="minorHAnsi"/>
                <w:i/>
                <w:sz w:val="20"/>
                <w:szCs w:val="28"/>
              </w:rPr>
            </m:ctrlPr>
          </m:sSubPr>
          <m:e>
            <m:r>
              <w:rPr>
                <w:rFonts w:ascii="Cambria Math" w:hAnsi="Cambria Math" w:cstheme="minorHAnsi"/>
                <w:sz w:val="20"/>
                <w:szCs w:val="28"/>
              </w:rPr>
              <m:t>E</m:t>
            </m:r>
          </m:e>
          <m:sub>
            <m:sSub>
              <m:sSubPr>
                <m:ctrlPr>
                  <w:rPr>
                    <w:rFonts w:ascii="Cambria Math" w:hAnsi="Cambria Math" w:cstheme="minorHAnsi"/>
                    <w:i/>
                    <w:sz w:val="20"/>
                    <w:szCs w:val="28"/>
                  </w:rPr>
                </m:ctrlPr>
              </m:sSubPr>
              <m:e>
                <m:r>
                  <m:rPr>
                    <m:nor/>
                  </m:rPr>
                  <w:rPr>
                    <w:rFonts w:cstheme="minorHAnsi"/>
                    <w:sz w:val="20"/>
                    <w:szCs w:val="28"/>
                  </w:rPr>
                  <m:t>CO</m:t>
                </m:r>
              </m:e>
              <m:sub>
                <m:r>
                  <w:rPr>
                    <w:rFonts w:ascii="Cambria Math" w:hAnsi="Cambria Math" w:cstheme="minorHAnsi"/>
                    <w:sz w:val="20"/>
                    <w:szCs w:val="28"/>
                  </w:rPr>
                  <m:t>2</m:t>
                </m:r>
              </m:sub>
            </m:sSub>
            <m:r>
              <w:rPr>
                <w:rFonts w:ascii="Cambria Math" w:hAnsi="Cambria Math" w:cstheme="minorHAnsi"/>
                <w:sz w:val="20"/>
                <w:szCs w:val="28"/>
              </w:rPr>
              <m:t>-</m:t>
            </m:r>
            <m:r>
              <m:rPr>
                <m:nor/>
              </m:rPr>
              <w:rPr>
                <w:rFonts w:cstheme="minorHAnsi"/>
                <w:sz w:val="20"/>
                <w:szCs w:val="28"/>
              </w:rPr>
              <m:t>fe</m:t>
            </m:r>
          </m:sub>
        </m:sSub>
        <m:r>
          <w:rPr>
            <w:rFonts w:ascii="Cambria Math" w:hAnsi="Cambria Math" w:cstheme="minorHAnsi"/>
            <w:sz w:val="20"/>
            <w:szCs w:val="28"/>
          </w:rPr>
          <m:t>≈</m:t>
        </m:r>
        <m:f>
          <m:fPr>
            <m:ctrlPr>
              <w:rPr>
                <w:rFonts w:ascii="Cambria Math" w:hAnsi="Cambria Math" w:cstheme="minorHAnsi"/>
                <w:i/>
                <w:sz w:val="20"/>
                <w:szCs w:val="28"/>
              </w:rPr>
            </m:ctrlPr>
          </m:fPr>
          <m:num>
            <m:r>
              <w:rPr>
                <w:rFonts w:ascii="Cambria Math" w:hAnsi="Cambria Math" w:cstheme="minorHAnsi"/>
                <w:sz w:val="20"/>
                <w:szCs w:val="28"/>
              </w:rPr>
              <m:t>H</m:t>
            </m:r>
            <m:d>
              <m:dPr>
                <m:ctrlPr>
                  <w:rPr>
                    <w:rFonts w:ascii="Cambria Math" w:hAnsi="Cambria Math" w:cstheme="minorHAnsi"/>
                    <w:i/>
                    <w:sz w:val="20"/>
                    <w:szCs w:val="28"/>
                  </w:rPr>
                </m:ctrlPr>
              </m:dPr>
              <m:e>
                <m:r>
                  <w:rPr>
                    <w:rFonts w:ascii="Cambria Math" w:hAnsi="Cambria Math" w:cstheme="minorHAnsi"/>
                    <w:sz w:val="20"/>
                    <w:szCs w:val="28"/>
                  </w:rPr>
                  <m:t>1-α</m:t>
                </m:r>
              </m:e>
            </m:d>
            <m:f>
              <m:fPr>
                <m:ctrlPr>
                  <w:rPr>
                    <w:rFonts w:ascii="Cambria Math" w:hAnsi="Cambria Math" w:cstheme="minorHAnsi"/>
                    <w:i/>
                    <w:sz w:val="20"/>
                    <w:szCs w:val="28"/>
                  </w:rPr>
                </m:ctrlPr>
              </m:fPr>
              <m:num>
                <m:r>
                  <w:rPr>
                    <w:rFonts w:ascii="Cambria Math" w:hAnsi="Cambria Math" w:cstheme="minorHAnsi"/>
                    <w:sz w:val="20"/>
                    <w:szCs w:val="28"/>
                  </w:rPr>
                  <m:t>dF</m:t>
                </m:r>
              </m:num>
              <m:den>
                <m:r>
                  <w:rPr>
                    <w:rFonts w:ascii="Cambria Math" w:hAnsi="Cambria Math" w:cstheme="minorHAnsi"/>
                    <w:sz w:val="20"/>
                    <w:szCs w:val="28"/>
                  </w:rPr>
                  <m:t>dt</m:t>
                </m:r>
              </m:den>
            </m:f>
            <m:r>
              <w:rPr>
                <w:rFonts w:ascii="Cambria Math" w:hAnsi="Cambria Math" w:cstheme="minorHAnsi"/>
                <w:sz w:val="20"/>
                <w:szCs w:val="28"/>
              </w:rPr>
              <m:t xml:space="preserve"> + αF</m:t>
            </m:r>
          </m:num>
          <m:den>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den>
        </m:f>
      </m:oMath>
      <w:r w:rsidRPr="009F25EB">
        <w:rPr>
          <w:rFonts w:cstheme="minorHAnsi"/>
          <w:sz w:val="20"/>
          <w:szCs w:val="28"/>
        </w:rPr>
        <w:t xml:space="preserve">     (1)</w:t>
      </w:r>
      <w:r w:rsidRPr="00E73853">
        <w:rPr>
          <w:rFonts w:cstheme="minorHAnsi"/>
          <w:sz w:val="20"/>
          <w:szCs w:val="28"/>
        </w:rPr>
        <w:t xml:space="preserve"> </w:t>
      </w:r>
    </w:p>
    <w:p w14:paraId="1FECD922" w14:textId="77777777" w:rsidR="00E73853" w:rsidRPr="009F25EB" w:rsidRDefault="00E73853" w:rsidP="00E73853">
      <w:pPr>
        <w:jc w:val="both"/>
        <w:rPr>
          <w:rFonts w:cstheme="minorHAnsi"/>
          <w:sz w:val="15"/>
          <w:szCs w:val="15"/>
        </w:rPr>
      </w:pPr>
    </w:p>
    <w:p w14:paraId="5C52BE6C" w14:textId="77777777" w:rsidR="00E73853" w:rsidRPr="009F25EB" w:rsidRDefault="00E73853" w:rsidP="00E73853">
      <w:pPr>
        <w:jc w:val="both"/>
        <w:rPr>
          <w:rFonts w:cstheme="minorHAnsi"/>
          <w:sz w:val="20"/>
          <w:szCs w:val="28"/>
        </w:rPr>
      </w:pPr>
      <w:r w:rsidRPr="009F25EB">
        <w:rPr>
          <w:rFonts w:cstheme="minorHAnsi"/>
          <w:sz w:val="20"/>
          <w:szCs w:val="28"/>
        </w:rPr>
        <w:t xml:space="preserve">where </w:t>
      </w:r>
      <m:oMath>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oMath>
      <w:r w:rsidRPr="009F25EB">
        <w:rPr>
          <w:rFonts w:cstheme="minorHAnsi"/>
          <w:sz w:val="20"/>
          <w:szCs w:val="28"/>
        </w:rPr>
        <w:t xml:space="preserve"> is the Absolute Global Warming Potential of CO</w:t>
      </w:r>
      <w:r w:rsidRPr="009F25EB">
        <w:rPr>
          <w:rFonts w:cstheme="minorHAnsi"/>
          <w:sz w:val="20"/>
          <w:szCs w:val="28"/>
          <w:vertAlign w:val="subscript"/>
        </w:rPr>
        <w:t>2</w:t>
      </w:r>
      <w:r w:rsidRPr="009F25EB">
        <w:rPr>
          <w:rFonts w:cstheme="minorHAnsi"/>
          <w:sz w:val="20"/>
          <w:szCs w:val="28"/>
        </w:rPr>
        <w:t xml:space="preserve">, </w:t>
      </w:r>
      <w:r w:rsidRPr="009F25EB">
        <w:rPr>
          <w:rFonts w:eastAsiaTheme="minorEastAsia" w:cstheme="minorHAnsi"/>
          <w:sz w:val="20"/>
          <w:szCs w:val="28"/>
        </w:rPr>
        <w:t xml:space="preserve">or the forcing integrated over </w:t>
      </w:r>
      <w:r w:rsidRPr="009F25EB">
        <w:rPr>
          <w:rFonts w:cstheme="minorHAnsi"/>
          <w:sz w:val="20"/>
          <w:szCs w:val="28"/>
        </w:rPr>
        <w:t xml:space="preserve">time-horizon </w:t>
      </w:r>
      <m:oMath>
        <m:r>
          <w:rPr>
            <w:rFonts w:ascii="Cambria Math" w:hAnsi="Cambria Math" w:cstheme="minorHAnsi"/>
            <w:sz w:val="20"/>
            <w:szCs w:val="28"/>
          </w:rPr>
          <m:t>H</m:t>
        </m:r>
      </m:oMath>
      <w:r w:rsidRPr="009F25EB">
        <w:rPr>
          <w:rFonts w:cstheme="minorHAnsi"/>
          <w:sz w:val="20"/>
          <w:szCs w:val="28"/>
        </w:rPr>
        <w:t xml:space="preserve"> resulting from a one-tonne pulse emission of CO</w:t>
      </w:r>
      <w:r w:rsidRPr="009F25EB">
        <w:rPr>
          <w:rFonts w:cstheme="minorHAnsi"/>
          <w:sz w:val="20"/>
          <w:szCs w:val="28"/>
          <w:vertAlign w:val="subscript"/>
        </w:rPr>
        <w:t>2</w:t>
      </w:r>
      <w:r w:rsidRPr="009F25EB">
        <w:rPr>
          <w:rFonts w:cstheme="minorHAnsi"/>
          <w:sz w:val="20"/>
          <w:szCs w:val="28"/>
        </w:rPr>
        <w:t xml:space="preserve">, and </w:t>
      </w:r>
      <m:oMath>
        <m:r>
          <w:rPr>
            <w:rFonts w:ascii="Cambria Math" w:hAnsi="Cambria Math" w:cstheme="minorHAnsi"/>
            <w:sz w:val="20"/>
            <w:szCs w:val="28"/>
          </w:rPr>
          <m:t>α</m:t>
        </m:r>
      </m:oMath>
      <w:r w:rsidRPr="009F25EB">
        <w:rPr>
          <w:rFonts w:cstheme="minorHAnsi"/>
          <w:sz w:val="20"/>
          <w:szCs w:val="28"/>
        </w:rPr>
        <w:t xml:space="preserve"> is a constant. To understand why, consider the </w:t>
      </w:r>
      <w:r w:rsidRPr="009F25EB">
        <w:rPr>
          <w:rFonts w:eastAsiaTheme="minorEastAsia" w:cstheme="minorHAnsi"/>
          <w:sz w:val="20"/>
          <w:szCs w:val="28"/>
        </w:rPr>
        <w:t xml:space="preserve">instantaneous forcing at time </w:t>
      </w:r>
      <m:oMath>
        <m:r>
          <w:rPr>
            <w:rFonts w:ascii="Cambria Math" w:hAnsi="Cambria Math" w:cstheme="minorHAnsi"/>
            <w:sz w:val="20"/>
            <w:szCs w:val="28"/>
          </w:rPr>
          <m:t>H</m:t>
        </m:r>
      </m:oMath>
      <w:r w:rsidRPr="009F25EB">
        <w:rPr>
          <w:rFonts w:eastAsiaTheme="minorEastAsia" w:cstheme="minorHAnsi"/>
          <w:sz w:val="20"/>
          <w:szCs w:val="28"/>
        </w:rPr>
        <w:t xml:space="preserve"> resulting from a sustained one tonne-per-year emission of CO</w:t>
      </w:r>
      <w:r w:rsidRPr="009F25EB">
        <w:rPr>
          <w:rFonts w:eastAsiaTheme="minorEastAsia" w:cstheme="minorHAnsi"/>
          <w:sz w:val="20"/>
          <w:szCs w:val="28"/>
          <w:vertAlign w:val="subscript"/>
        </w:rPr>
        <w:t>2</w:t>
      </w:r>
      <w:r w:rsidRPr="009F25EB">
        <w:rPr>
          <w:rFonts w:eastAsiaTheme="minorEastAsia" w:cstheme="minorHAnsi"/>
          <w:sz w:val="20"/>
          <w:szCs w:val="28"/>
        </w:rPr>
        <w:t xml:space="preserve"> starting at time zero, or </w:t>
      </w:r>
      <m:oMath>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F</m:t>
            </m:r>
          </m:e>
          <m:sub>
            <m:r>
              <w:rPr>
                <w:rFonts w:ascii="Cambria Math" w:eastAsiaTheme="minorEastAsia" w:hAnsi="Cambria Math" w:cstheme="minorHAnsi"/>
                <w:sz w:val="20"/>
                <w:szCs w:val="28"/>
              </w:rPr>
              <m:t>S</m:t>
            </m:r>
          </m:sub>
        </m:sSub>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e>
        </m:d>
      </m:oMath>
      <w:r w:rsidRPr="009F25EB">
        <w:rPr>
          <w:rFonts w:eastAsiaTheme="minorEastAsia" w:cstheme="minorHAnsi"/>
          <w:sz w:val="20"/>
          <w:szCs w:val="28"/>
        </w:rPr>
        <w:t xml:space="preserve"> (Shine </w:t>
      </w:r>
      <w:r w:rsidRPr="000849C0">
        <w:rPr>
          <w:rFonts w:eastAsiaTheme="minorEastAsia" w:cstheme="minorHAnsi"/>
          <w:i/>
          <w:iCs/>
          <w:sz w:val="20"/>
          <w:szCs w:val="28"/>
        </w:rPr>
        <w:t>et al.</w:t>
      </w:r>
      <w:r w:rsidRPr="009F25EB">
        <w:rPr>
          <w:rFonts w:eastAsiaTheme="minorEastAsia" w:cstheme="minorHAnsi"/>
          <w:sz w:val="20"/>
          <w:szCs w:val="28"/>
        </w:rPr>
        <w:t>, 2005). This is equivalent, for a linear response, to the AGWP</w:t>
      </w:r>
      <w:r w:rsidRPr="009F25EB">
        <w:rPr>
          <w:rFonts w:eastAsiaTheme="minorEastAsia" w:cstheme="minorHAnsi"/>
          <w:i/>
          <w:sz w:val="20"/>
          <w:szCs w:val="28"/>
          <w:vertAlign w:val="subscript"/>
        </w:rPr>
        <w:t>H</w:t>
      </w:r>
      <w:r w:rsidRPr="009F25EB">
        <w:rPr>
          <w:rFonts w:eastAsiaTheme="minorEastAsia" w:cstheme="minorHAnsi"/>
          <w:sz w:val="20"/>
          <w:szCs w:val="28"/>
        </w:rPr>
        <w:t xml:space="preserve">, and increases approximately linearly over these timescales (figure 8.29 of Myhre </w:t>
      </w:r>
      <w:r w:rsidRPr="00B70584">
        <w:rPr>
          <w:rFonts w:eastAsiaTheme="minorEastAsia" w:cstheme="minorHAnsi"/>
          <w:i/>
          <w:iCs/>
          <w:sz w:val="20"/>
          <w:szCs w:val="28"/>
        </w:rPr>
        <w:t>et al.</w:t>
      </w:r>
      <w:r w:rsidRPr="009F25EB">
        <w:rPr>
          <w:rFonts w:eastAsiaTheme="minorEastAsia" w:cstheme="minorHAnsi"/>
          <w:sz w:val="20"/>
          <w:szCs w:val="28"/>
        </w:rPr>
        <w:t xml:space="preserve">, 2013). Hence </w:t>
      </w:r>
      <m:oMath>
        <m:r>
          <w:rPr>
            <w:rFonts w:ascii="Cambria Math" w:eastAsiaTheme="minorEastAsia" w:hAnsi="Cambria Math" w:cstheme="minorHAnsi"/>
            <w:sz w:val="20"/>
            <w:szCs w:val="28"/>
          </w:rPr>
          <m:t>F=</m:t>
        </m:r>
        <m:r>
          <w:rPr>
            <w:rFonts w:ascii="Cambria Math" w:hAnsi="Cambria Math" w:cstheme="minorHAnsi"/>
            <w:sz w:val="20"/>
            <w:szCs w:val="28"/>
          </w:rPr>
          <m:t>H</m:t>
        </m:r>
        <m:f>
          <m:fPr>
            <m:type m:val="lin"/>
            <m:ctrlPr>
              <w:rPr>
                <w:rFonts w:ascii="Cambria Math" w:hAnsi="Cambria Math" w:cstheme="minorHAnsi"/>
                <w:i/>
                <w:sz w:val="20"/>
                <w:szCs w:val="28"/>
              </w:rPr>
            </m:ctrlPr>
          </m:fPr>
          <m:num>
            <m:r>
              <w:rPr>
                <w:rFonts w:ascii="Cambria Math" w:hAnsi="Cambria Math" w:cstheme="minorHAnsi"/>
                <w:sz w:val="20"/>
                <w:szCs w:val="28"/>
              </w:rPr>
              <m:t>dF</m:t>
            </m:r>
          </m:num>
          <m:den>
            <m:r>
              <w:rPr>
                <w:rFonts w:ascii="Cambria Math" w:hAnsi="Cambria Math" w:cstheme="minorHAnsi"/>
                <w:sz w:val="20"/>
                <w:szCs w:val="28"/>
              </w:rPr>
              <m:t>dt</m:t>
            </m:r>
          </m:den>
        </m:f>
      </m:oMath>
      <w:r w:rsidRPr="009F25EB">
        <w:rPr>
          <w:rFonts w:eastAsiaTheme="minorEastAsia" w:cstheme="minorHAnsi"/>
          <w:sz w:val="20"/>
          <w:szCs w:val="28"/>
        </w:rPr>
        <w:t xml:space="preserve"> and the RHS of equation (1) becomes </w:t>
      </w:r>
      <m:oMath>
        <m:f>
          <m:fPr>
            <m:type m:val="lin"/>
            <m:ctrlPr>
              <w:rPr>
                <w:rFonts w:ascii="Cambria Math" w:eastAsiaTheme="minorEastAsia" w:hAnsi="Cambria Math" w:cstheme="minorHAnsi"/>
                <w:i/>
                <w:sz w:val="20"/>
                <w:szCs w:val="28"/>
              </w:rPr>
            </m:ctrlPr>
          </m:fPr>
          <m:num>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F</m:t>
                </m:r>
              </m:e>
              <m:sub>
                <m:r>
                  <w:rPr>
                    <w:rFonts w:ascii="Cambria Math" w:eastAsiaTheme="minorEastAsia" w:hAnsi="Cambria Math" w:cstheme="minorHAnsi"/>
                    <w:sz w:val="20"/>
                    <w:szCs w:val="28"/>
                  </w:rPr>
                  <m:t>S</m:t>
                </m:r>
              </m:sub>
            </m:sSub>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e>
            </m:d>
          </m:num>
          <m:den>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den>
        </m:f>
        <m:r>
          <w:rPr>
            <w:rFonts w:ascii="Cambria Math" w:eastAsiaTheme="minorEastAsia" w:hAnsi="Cambria Math" w:cstheme="minorHAnsi"/>
            <w:sz w:val="20"/>
            <w:szCs w:val="28"/>
          </w:rPr>
          <m:t>=1</m:t>
        </m:r>
      </m:oMath>
      <w:r w:rsidRPr="009F25EB">
        <w:rPr>
          <w:rFonts w:eastAsiaTheme="minorEastAsia" w:cstheme="minorHAnsi"/>
          <w:sz w:val="20"/>
          <w:szCs w:val="28"/>
        </w:rPr>
        <w:t>, the LHS</w:t>
      </w:r>
      <w:r w:rsidRPr="009F25EB">
        <w:rPr>
          <w:rFonts w:cstheme="minorHAnsi"/>
          <w:sz w:val="20"/>
          <w:szCs w:val="28"/>
        </w:rPr>
        <w:t xml:space="preserve">. </w:t>
      </w:r>
    </w:p>
    <w:p w14:paraId="31D18B50" w14:textId="77777777" w:rsidR="00E73853" w:rsidRPr="009F25EB" w:rsidRDefault="00E73853" w:rsidP="00E73853">
      <w:pPr>
        <w:rPr>
          <w:rFonts w:cstheme="minorHAnsi"/>
          <w:sz w:val="20"/>
          <w:szCs w:val="28"/>
        </w:rPr>
      </w:pPr>
    </w:p>
    <w:p w14:paraId="5DD7C550" w14:textId="62BF5BE5" w:rsidR="00E73853" w:rsidRDefault="00E73853" w:rsidP="00E73853">
      <w:pPr>
        <w:jc w:val="both"/>
        <w:rPr>
          <w:rFonts w:eastAsiaTheme="minorEastAsia" w:cstheme="minorHAnsi"/>
          <w:sz w:val="20"/>
          <w:szCs w:val="28"/>
        </w:rPr>
      </w:pPr>
      <w:r w:rsidRPr="009F25EB">
        <w:rPr>
          <w:rFonts w:cstheme="minorHAnsi"/>
          <w:sz w:val="20"/>
          <w:szCs w:val="28"/>
        </w:rPr>
        <w:t xml:space="preserve">The value of </w:t>
      </w:r>
      <m:oMath>
        <m:r>
          <w:rPr>
            <w:rFonts w:ascii="Cambria Math" w:hAnsi="Cambria Math" w:cstheme="minorHAnsi"/>
            <w:sz w:val="20"/>
            <w:szCs w:val="28"/>
          </w:rPr>
          <m:t>α</m:t>
        </m:r>
      </m:oMath>
      <w:r w:rsidRPr="009F25EB">
        <w:rPr>
          <w:rFonts w:cstheme="minorHAnsi"/>
          <w:sz w:val="20"/>
          <w:szCs w:val="28"/>
        </w:rPr>
        <w:t xml:space="preserve"> depends on the fractional rate </w:t>
      </w:r>
      <m:oMath>
        <m:r>
          <w:rPr>
            <w:rFonts w:ascii="Cambria Math" w:eastAsiaTheme="minorEastAsia" w:hAnsi="Cambria Math" w:cstheme="minorHAnsi"/>
            <w:sz w:val="20"/>
            <w:szCs w:val="28"/>
          </w:rPr>
          <m:t>ϵ=α/</m:t>
        </m:r>
        <m:d>
          <m:dPr>
            <m:begChr m:val="["/>
            <m:endChr m:val="]"/>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1-α</m:t>
                </m:r>
              </m:e>
            </m:d>
          </m:e>
        </m:d>
      </m:oMath>
      <w:r w:rsidRPr="009F25EB">
        <w:rPr>
          <w:rFonts w:cstheme="minorHAnsi"/>
          <w:sz w:val="20"/>
          <w:szCs w:val="28"/>
        </w:rPr>
        <w:t xml:space="preserve"> at which forcing </w:t>
      </w:r>
      <w:proofErr w:type="gramStart"/>
      <w:r w:rsidRPr="009F25EB">
        <w:rPr>
          <w:rFonts w:cstheme="minorHAnsi"/>
          <w:sz w:val="20"/>
          <w:szCs w:val="28"/>
        </w:rPr>
        <w:t>is expected</w:t>
      </w:r>
      <w:proofErr w:type="gramEnd"/>
      <w:r w:rsidRPr="009F25EB">
        <w:rPr>
          <w:rFonts w:cstheme="minorHAnsi"/>
          <w:sz w:val="20"/>
          <w:szCs w:val="28"/>
        </w:rPr>
        <w:t xml:space="preserve"> to decline over the decades after CO</w:t>
      </w:r>
      <w:r w:rsidRPr="009F25EB">
        <w:rPr>
          <w:rFonts w:cstheme="minorHAnsi"/>
          <w:sz w:val="20"/>
          <w:szCs w:val="28"/>
          <w:vertAlign w:val="subscript"/>
        </w:rPr>
        <w:t>2</w:t>
      </w:r>
      <w:r w:rsidRPr="009F25EB">
        <w:rPr>
          <w:rFonts w:cstheme="minorHAnsi"/>
          <w:sz w:val="20"/>
          <w:szCs w:val="28"/>
        </w:rPr>
        <w:t xml:space="preserve"> emissions are set to zero. This depends on the past forcing history, but an indication is given by noting that zero CO</w:t>
      </w:r>
      <w:r w:rsidRPr="009F25EB">
        <w:rPr>
          <w:rFonts w:cstheme="minorHAnsi"/>
          <w:sz w:val="20"/>
          <w:szCs w:val="28"/>
          <w:vertAlign w:val="subscript"/>
        </w:rPr>
        <w:t>2</w:t>
      </w:r>
      <w:r w:rsidRPr="009F25EB">
        <w:rPr>
          <w:rFonts w:cstheme="minorHAnsi"/>
          <w:sz w:val="20"/>
          <w:szCs w:val="28"/>
        </w:rPr>
        <w:t xml:space="preserve"> emissions is consistent with stable temperatures, and forcing would need to decline at a rate </w:t>
      </w:r>
      <m:oMath>
        <m:r>
          <w:rPr>
            <w:rFonts w:ascii="Cambria Math" w:eastAsiaTheme="minorEastAsia" w:hAnsi="Cambria Math" w:cstheme="minorHAnsi"/>
            <w:sz w:val="20"/>
            <w:szCs w:val="28"/>
          </w:rPr>
          <m:t>ϵ=(</m:t>
        </m:r>
        <m:r>
          <m:rPr>
            <m:nor/>
          </m:rPr>
          <w:rPr>
            <w:rFonts w:eastAsiaTheme="minorEastAsia" w:cstheme="minorHAnsi"/>
            <w:sz w:val="20"/>
            <w:szCs w:val="28"/>
          </w:rPr>
          <m:t>ECS</m:t>
        </m:r>
        <m:r>
          <w:rPr>
            <w:rFonts w:ascii="Cambria Math" w:eastAsiaTheme="minorEastAsia" w:hAnsi="Cambria Math" w:cstheme="minorHAnsi"/>
            <w:sz w:val="20"/>
            <w:szCs w:val="28"/>
          </w:rPr>
          <m:t>-</m:t>
        </m:r>
        <m:r>
          <m:rPr>
            <m:nor/>
          </m:rPr>
          <w:rPr>
            <w:rFonts w:eastAsiaTheme="minorEastAsia" w:cstheme="minorHAnsi"/>
            <w:sz w:val="20"/>
            <w:szCs w:val="28"/>
          </w:rPr>
          <m:t>TCR</m:t>
        </m:r>
        <m:r>
          <w:rPr>
            <w:rFonts w:ascii="Cambria Math" w:eastAsiaTheme="minorEastAsia" w:hAnsi="Cambria Math" w:cstheme="minorHAnsi"/>
            <w:sz w:val="20"/>
            <w:szCs w:val="28"/>
          </w:rPr>
          <m:t>)/(</m:t>
        </m:r>
        <m:r>
          <m:rPr>
            <m:nor/>
          </m:rPr>
          <w:rPr>
            <w:rFonts w:eastAsiaTheme="minorEastAsia" w:cstheme="minorHAnsi"/>
            <w:sz w:val="20"/>
            <w:szCs w:val="28"/>
          </w:rPr>
          <m:t>TCR</m:t>
        </m:r>
        <m:r>
          <w:rPr>
            <w:rFonts w:ascii="Cambria Math" w:eastAsiaTheme="minorEastAsia" w:hAnsi="Cambria Math" w:cstheme="minorHAnsi"/>
            <w:sz w:val="20"/>
            <w:szCs w:val="28"/>
          </w:rPr>
          <m:t>×</m:t>
        </m:r>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d</m:t>
            </m:r>
          </m:e>
          <m:sub>
            <m:r>
              <w:rPr>
                <w:rFonts w:ascii="Cambria Math" w:eastAsiaTheme="minorEastAsia" w:hAnsi="Cambria Math" w:cstheme="minorHAnsi"/>
                <w:sz w:val="20"/>
                <w:szCs w:val="28"/>
              </w:rPr>
              <m:t>2</m:t>
            </m:r>
          </m:sub>
        </m:sSub>
        <m:r>
          <w:rPr>
            <w:rFonts w:ascii="Cambria Math" w:eastAsiaTheme="minorEastAsia" w:hAnsi="Cambria Math" w:cstheme="minorHAnsi"/>
            <w:sz w:val="20"/>
            <w:szCs w:val="28"/>
          </w:rPr>
          <m:t>)</m:t>
        </m:r>
      </m:oMath>
      <w:r w:rsidRPr="009F25EB">
        <w:rPr>
          <w:rFonts w:eastAsiaTheme="minorEastAsia" w:cstheme="minorHAnsi"/>
          <w:sz w:val="20"/>
          <w:szCs w:val="28"/>
        </w:rPr>
        <w:t xml:space="preserve"> to maintain stable temperatures in the decades immediately following forcing stabilisation after a 70-year linear increase, where ECS is the Equilibrium Climate Sensitivity, TCR the Transient Climate Response and </w:t>
      </w:r>
      <m:oMath>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d</m:t>
            </m:r>
          </m:e>
          <m:sub>
            <m:r>
              <w:rPr>
                <w:rFonts w:ascii="Cambria Math" w:eastAsiaTheme="minorEastAsia" w:hAnsi="Cambria Math" w:cstheme="minorHAnsi"/>
                <w:sz w:val="20"/>
                <w:szCs w:val="28"/>
              </w:rPr>
              <m:t>2</m:t>
            </m:r>
          </m:sub>
        </m:sSub>
      </m:oMath>
      <w:r w:rsidRPr="009F25EB">
        <w:rPr>
          <w:rFonts w:eastAsiaTheme="minorEastAsia" w:cstheme="minorHAnsi"/>
          <w:sz w:val="20"/>
          <w:szCs w:val="28"/>
        </w:rPr>
        <w:t xml:space="preserve"> the longer of the two adjustment times</w:t>
      </w:r>
      <w:proofErr w:type="spellStart"/>
      <w:r w:rsidRPr="009F25EB">
        <w:rPr>
          <w:rFonts w:eastAsiaTheme="minorEastAsia" w:cstheme="minorHAnsi"/>
          <w:sz w:val="20"/>
          <w:szCs w:val="28"/>
        </w:rPr>
        <w:t>cales</w:t>
      </w:r>
      <w:proofErr w:type="spellEnd"/>
      <w:r w:rsidRPr="009F25EB">
        <w:rPr>
          <w:rFonts w:cstheme="minorHAnsi"/>
          <w:sz w:val="20"/>
          <w:szCs w:val="28"/>
        </w:rPr>
        <w:fldChar w:fldCharType="begin"/>
      </w:r>
      <w:r w:rsidRPr="009F25EB">
        <w:rPr>
          <w:rFonts w:cstheme="minorHAnsi"/>
          <w:sz w:val="20"/>
          <w:szCs w:val="28"/>
        </w:rPr>
        <w:instrText xml:space="preserve"> ADDIN ZOTERO_ITEM CSL_CITATION {"citationID":"pAvxsROz","properties":{"formattedCitation":"\\super 7,8\\nosupersub{}","plainCitation":"7,8","noteIndex":0},"citationItems":[{"id":210,"uris":["http://zotero.org/users/local/uNYZvaCf/items/EYMZ8A97"],"uri":["http://zotero.org/users/local/uNYZvaCf/items/EYMZ8A97"],"itemData":{"id":210,"type":"article-journal","title":"Probing the Fast and Slow Components of Global Warming by Returning Abruptly to Preindustrial Forcing","container-title":"Journal of Climate","page":"2418-2427","volume":"23","issue":"9","source":"journals.ametsoc.org (Atypon)","abstract":"The fast and slow components of global warming in a comprehensive climate model are isolated by examining the response to an instantaneous return to preindustrial forcing. The response is characterized by an initial fast exponential decay with an e-folding time smaller than 5 yr, leaving behind a remnant that evolves more slowly. The slow component is estimated to be small at present, as measured by the global mean near-surface air temperature, and, in the model examined, grows to 0.4°C by 2100 in the A1B scenario from the Special Report on Emissions Scenarios (SRES), and then to 1.4°C by 2300 if one holds radiative forcing fixed after 2100. The dominance of the fast component at present is supported by examining the response to an instantaneous doubling of CO2 and by the excellent fit to the model’s ensemble mean twentieth-century evolution with a simple one-box model with no long times scales.","DOI":"10.1175/2009JCLI3466.1","ISSN":"0894-8755","journalAbbreviation":"J. Climate","author":[{"family":"Held","given":"Isaac M."},{"family":"Winton","given":"Michael"},{"family":"Takahashi","given":"Ken"},{"family":"Delworth","given":"Thomas"},{"family":"Zeng","given":"Fanrong"},{"family":"Vallis","given":"Geoffrey K."}],"issued":{"date-parts":[["2010",1,12]]}}},{"id":81,"uris":["http://zotero.org/users/local/uNYZvaCf/items/SWY6GMST"],"uri":["http://zotero.org/users/local/uNYZvaCf/items/SWY6GMST"],"itemData":{"id":81,"type":"article-journal","title":"Transient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uptake.","DOI":"10.1175/JCLI-D-12-00195.1","ISSN":"0894-8755","title-short":"Transient Climate Response in a Two-Layer Energy-Balance Model. Part I","journalAbbreviation":"J. Climate","author":[{"family":"Geoffroy","given":"O."},{"family":"Saint-Martin","given":"D."},{"family":"Olivié","given":"D. J. L."},{"family":"Voldoire","given":"A."},{"family":"Bellon","given":"G."},{"family":"Tytéca","given":"S."}],"issued":{"date-parts":[["2012",9,17]]}}}],"schema":"https://github.com/citation-style-language/schema/raw/master/csl-citation.json"}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7,8</w:t>
      </w:r>
      <w:r w:rsidRPr="009F25EB">
        <w:rPr>
          <w:rFonts w:cstheme="minorHAnsi"/>
          <w:sz w:val="20"/>
          <w:szCs w:val="28"/>
        </w:rPr>
        <w:fldChar w:fldCharType="end"/>
      </w:r>
      <w:r w:rsidRPr="009F25EB">
        <w:rPr>
          <w:rFonts w:eastAsiaTheme="minorEastAsia" w:cstheme="minorHAnsi"/>
          <w:sz w:val="20"/>
          <w:szCs w:val="28"/>
        </w:rPr>
        <w:t xml:space="preserve"> of the physical climate system. This implies </w:t>
      </w:r>
      <m:oMath>
        <m:r>
          <w:rPr>
            <w:rFonts w:ascii="Cambria Math" w:eastAsiaTheme="minorEastAsia" w:hAnsi="Cambria Math" w:cstheme="minorHAnsi"/>
            <w:sz w:val="20"/>
            <w:szCs w:val="28"/>
          </w:rPr>
          <m:t>ϵ=0.003</m:t>
        </m:r>
      </m:oMath>
      <w:r w:rsidRPr="009F25EB">
        <w:rPr>
          <w:rFonts w:eastAsiaTheme="minorEastAsia" w:cstheme="minorHAnsi"/>
          <w:sz w:val="20"/>
          <w:szCs w:val="28"/>
        </w:rPr>
        <w:t xml:space="preserve"> per year and </w:t>
      </w:r>
      <m:oMath>
        <m:r>
          <w:rPr>
            <w:rFonts w:ascii="Cambria Math" w:eastAsiaTheme="minorEastAsia" w:hAnsi="Cambria Math" w:cstheme="minorHAnsi"/>
            <w:sz w:val="20"/>
            <w:szCs w:val="28"/>
          </w:rPr>
          <m:t>α=0.25</m:t>
        </m:r>
      </m:oMath>
      <w:r w:rsidRPr="009F25EB">
        <w:rPr>
          <w:rFonts w:eastAsiaTheme="minorEastAsia" w:cstheme="minorHAnsi"/>
          <w:sz w:val="20"/>
          <w:szCs w:val="28"/>
        </w:rPr>
        <w:t xml:space="preserve"> with </w:t>
      </w:r>
      <m:oMath>
        <m:r>
          <w:rPr>
            <w:rFonts w:ascii="Cambria Math" w:eastAsiaTheme="minorEastAsia" w:hAnsi="Cambria Math" w:cstheme="minorHAnsi"/>
            <w:sz w:val="20"/>
            <w:szCs w:val="28"/>
          </w:rPr>
          <m:t>H=100</m:t>
        </m:r>
      </m:oMath>
      <w:r w:rsidRPr="009F25EB">
        <w:rPr>
          <w:rFonts w:eastAsiaTheme="minorEastAsia" w:cstheme="minorHAnsi"/>
          <w:sz w:val="20"/>
          <w:szCs w:val="28"/>
        </w:rPr>
        <w:t xml:space="preserve"> years.</w:t>
      </w:r>
      <w:r w:rsidRPr="009F25EB">
        <w:rPr>
          <w:rFonts w:cstheme="minorHAnsi"/>
          <w:sz w:val="20"/>
          <w:szCs w:val="28"/>
        </w:rPr>
        <w:fldChar w:fldCharType="begin"/>
      </w:r>
      <w:r w:rsidRPr="009F25EB">
        <w:rPr>
          <w:rFonts w:cstheme="minorHAnsi"/>
          <w:sz w:val="20"/>
          <w:szCs w:val="28"/>
        </w:rPr>
        <w:instrText xml:space="preserve"> ADDIN ZOTERO_ITEM CSL_CITATION {"citationID":"uTqTgcTH","properties":{"formattedCitation":"\\super 8\\uc0\\u8211{}10\\nosupersub{}","plainCitation":"8–10","noteIndex":0},"citationItems":[{"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uptake.","DOI":"10.1175/JCLI-D-12-00195.1","ISSN":"0894-8755","title-short":"Transient Climate Response in a Two-Layer Energy-Balance Model. Part I","journalAbbreviation":"J. Climate","author":[{"family":"Geoffroy","given":"O."},{"family":"Saint-Martin","given":"D."},{"family":"Olivié","given":"D. J. L."},{"family":"Voldoire","given":"A."},{"family":"Bellon","given":"G."},{"family":"Tytéca","given":"S."}],"issued":{"date-parts":[["2012",9,17]]}}},{"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distributions.&lt;/p&gt;","DOI":"https://doi.org/10.5194/gmd-11-2273-2018","ISSN":"1991-959X","title-short":"FAIR v1.3","language":"English","author":[{"family":"Smith","given":"Christopher J."},{"family":"Forster","given":"Piers M."},{"family":"Allen","given":"Myles"},{"family":"Leach","given":"Nicholas"},{"family":"Millar","given":"Richard J."},{"family":"Passerello","given":"Giovanni A."},{"family":"Regayre","given":"Leighton A."}],"issued":{"date-parts":[["2018",6,18]]}}},{"id":15,"uris":["http://zotero.org/users/local/uNYZvaCf/items/UNV9YC9A"],"uri":["http://zotero.org/users/local/uNYZvaCf/items/UNV9YC9A"],"itemData":{"id":15,"type":"article-journal","title":"A modified impulse-response representation of the global near-surface air temperature and atmospheric concentration response to carbon dioxide emissions","container-title":"Atmospheric Chemistry and Physics","page":"7213-7228","volume":"17","issue":"11","source":"www.atmos-chem-phys.net","abstract":"&lt;p&gt;&lt;strong&gt;Abstract.&lt;/strong&gt; Projections of the response to anthropogenic emission scenarios, evaluation of some greenhouse gas metrics, and estimates of the social cost of carbon often require a simple model that links emissions of carbon dioxide (CO&lt;sub&gt;2&lt;/sub&gt;) to atmospheric concentrations and global temperature changes. An essential requirement of such a model is to reproduce typical global surface temperature and atmospheric CO&lt;sub&gt;2&lt;/sub&gt; responses displayed by more complex Earth system models (ESMs) under a range of emission scenarios, as well as an ability to sample the range of ESM response in a transparent, accessible and reproducible form. Here we adapt the simple model of the Intergovernmental Panel on Climate Change 5th Assessment Report (IPCC AR5) to explicitly represent the state dependence of the CO&lt;sub&gt;2&lt;/sub&gt; airborne fraction. Our adapted model (FAIR) reproduces the range of behaviour shown in full and intermediate complexity ESMs under several idealised carbon pulse and exponential concentration increase experiments. We find that the inclusion of a linear increase in 100-year integrated airborne fraction with cumulative carbon uptake and global temperature change substantially improves the representation of the response of the climate system to CO&lt;sub&gt;2&lt;/sub&gt; on a range of timescales and under a range of experimental designs.&lt;/p&gt;","DOI":"https://doi.org/10.5194/acp-17-7213-2017","ISSN":"1680-7316","language":"English","author":[{"family":"Millar","given":"Richard J."},{"family":"Nicholls","given":"Zebedee R."},{"family":"Friedlingstein","given":"Pierre"},{"family":"Allen","given":"Myles R."}],"issued":{"date-parts":[["2017",6,16]]}}}],"schema":"https://github.com/citation-style-language/schema/raw/master/csl-citation.json"}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8–10</w:t>
      </w:r>
      <w:r w:rsidRPr="009F25EB">
        <w:rPr>
          <w:rFonts w:cstheme="minorHAnsi"/>
          <w:sz w:val="20"/>
          <w:szCs w:val="28"/>
        </w:rPr>
        <w:fldChar w:fldCharType="end"/>
      </w:r>
    </w:p>
    <w:p w14:paraId="62353BFA" w14:textId="2F4AD338" w:rsidR="00E73853" w:rsidRDefault="00E73853" w:rsidP="00E73853">
      <w:pPr>
        <w:jc w:val="both"/>
        <w:rPr>
          <w:rFonts w:eastAsiaTheme="minorEastAsia" w:cstheme="minorHAnsi"/>
          <w:sz w:val="20"/>
          <w:szCs w:val="28"/>
        </w:rPr>
      </w:pPr>
    </w:p>
    <w:p w14:paraId="40CDF810" w14:textId="77777777" w:rsidR="00E73853" w:rsidRPr="009F25EB" w:rsidRDefault="00E73853" w:rsidP="00E73853">
      <w:pPr>
        <w:jc w:val="both"/>
        <w:rPr>
          <w:rFonts w:cstheme="minorHAnsi"/>
          <w:sz w:val="20"/>
          <w:szCs w:val="28"/>
        </w:rPr>
      </w:pPr>
      <w:r w:rsidRPr="009F25EB">
        <w:rPr>
          <w:rFonts w:eastAsiaTheme="minorEastAsia" w:cstheme="minorHAnsi"/>
          <w:sz w:val="20"/>
          <w:szCs w:val="28"/>
        </w:rPr>
        <w:t>If non-CO</w:t>
      </w:r>
      <w:r w:rsidRPr="009F25EB">
        <w:rPr>
          <w:rFonts w:eastAsiaTheme="minorEastAsia" w:cstheme="minorHAnsi"/>
          <w:sz w:val="20"/>
          <w:szCs w:val="28"/>
          <w:vertAlign w:val="subscript"/>
        </w:rPr>
        <w:t xml:space="preserve">2 </w:t>
      </w:r>
      <w:r w:rsidRPr="009F25EB">
        <w:rPr>
          <w:rFonts w:eastAsiaTheme="minorEastAsia" w:cstheme="minorHAnsi"/>
          <w:sz w:val="20"/>
          <w:szCs w:val="28"/>
        </w:rPr>
        <w:t xml:space="preserve">forcing </w:t>
      </w:r>
      <w:proofErr w:type="gramStart"/>
      <w:r w:rsidRPr="009F25EB">
        <w:rPr>
          <w:rFonts w:eastAsiaTheme="minorEastAsia" w:cstheme="minorHAnsi"/>
          <w:sz w:val="20"/>
          <w:szCs w:val="28"/>
        </w:rPr>
        <w:t>is defined</w:t>
      </w:r>
      <w:proofErr w:type="gramEnd"/>
      <w:r w:rsidRPr="009F25EB">
        <w:rPr>
          <w:rFonts w:eastAsiaTheme="minorEastAsia" w:cstheme="minorHAnsi"/>
          <w:sz w:val="20"/>
          <w:szCs w:val="28"/>
        </w:rPr>
        <w:t xml:space="preserve"> using effective radiative forcing, then human-induced </w:t>
      </w:r>
      <w:r w:rsidRPr="009F25EB">
        <w:rPr>
          <w:rFonts w:cstheme="minorHAnsi"/>
          <w:sz w:val="20"/>
          <w:szCs w:val="28"/>
        </w:rPr>
        <w:t xml:space="preserve">warming </w:t>
      </w:r>
      <w:r w:rsidRPr="009F25EB">
        <w:rPr>
          <w:rFonts w:cstheme="minorHAnsi"/>
          <w:sz w:val="20"/>
          <w:szCs w:val="28"/>
        </w:rPr>
        <w:sym w:font="Symbol" w:char="F044"/>
      </w:r>
      <w:r w:rsidRPr="009F25EB">
        <w:rPr>
          <w:rFonts w:cstheme="minorHAnsi"/>
          <w:sz w:val="20"/>
          <w:szCs w:val="28"/>
        </w:rPr>
        <w:t xml:space="preserve">T over a multi-decade time-interval </w:t>
      </w:r>
      <m:oMath>
        <m:r>
          <w:rPr>
            <w:rFonts w:ascii="Cambria Math" w:hAnsi="Cambria Math" w:cstheme="minorHAnsi"/>
            <w:sz w:val="20"/>
            <w:szCs w:val="28"/>
          </w:rPr>
          <m:t>∆t</m:t>
        </m:r>
      </m:oMath>
      <w:r w:rsidRPr="009F25EB">
        <w:rPr>
          <w:rFonts w:cstheme="minorHAnsi"/>
          <w:sz w:val="20"/>
          <w:szCs w:val="28"/>
        </w:rPr>
        <w:t xml:space="preserve"> is</w:t>
      </w:r>
    </w:p>
    <w:p w14:paraId="38B25A33" w14:textId="77777777" w:rsidR="00E73853" w:rsidRPr="009F25EB" w:rsidRDefault="00E73853" w:rsidP="00E73853">
      <w:pPr>
        <w:jc w:val="both"/>
        <w:rPr>
          <w:rFonts w:cstheme="minorHAnsi"/>
          <w:sz w:val="15"/>
          <w:szCs w:val="28"/>
        </w:rPr>
      </w:pPr>
    </w:p>
    <w:p w14:paraId="6495C64F" w14:textId="7CEEA995" w:rsidR="00E73853" w:rsidRDefault="00E73853" w:rsidP="00E73853">
      <w:pPr>
        <w:jc w:val="center"/>
        <w:rPr>
          <w:rFonts w:cstheme="minorHAnsi"/>
          <w:sz w:val="20"/>
          <w:szCs w:val="28"/>
        </w:rPr>
      </w:pPr>
      <m:oMath>
        <m:r>
          <m:rPr>
            <m:sty m:val="p"/>
          </m:rPr>
          <w:rPr>
            <w:rFonts w:ascii="Cambria Math" w:hAnsi="Cambria Math" w:cstheme="minorHAnsi"/>
            <w:color w:val="000000" w:themeColor="text1"/>
            <w:sz w:val="20"/>
            <w:szCs w:val="28"/>
          </w:rPr>
          <m:t>Δ</m:t>
        </m:r>
        <m:r>
          <w:rPr>
            <w:rFonts w:ascii="Cambria Math" w:hAnsi="Cambria Math" w:cstheme="minorHAnsi"/>
            <w:color w:val="000000" w:themeColor="text1"/>
            <w:sz w:val="20"/>
            <w:szCs w:val="28"/>
          </w:rPr>
          <m:t>T=</m:t>
        </m:r>
        <m:r>
          <m:rPr>
            <m:nor/>
          </m:rPr>
          <w:rPr>
            <w:rFonts w:cstheme="minorHAnsi"/>
            <w:color w:val="000000" w:themeColor="text1"/>
            <w:sz w:val="20"/>
            <w:szCs w:val="28"/>
          </w:rPr>
          <m:t>TCRE×</m:t>
        </m:r>
        <m:d>
          <m:dPr>
            <m:begChr m:val="["/>
            <m:endChr m:val="]"/>
            <m:ctrlPr>
              <w:rPr>
                <w:rFonts w:ascii="Cambria Math" w:hAnsi="Cambria Math" w:cstheme="minorHAnsi"/>
                <w:i/>
                <w:color w:val="000000" w:themeColor="text1"/>
                <w:sz w:val="20"/>
                <w:szCs w:val="28"/>
              </w:rPr>
            </m:ctrlPr>
          </m:dPr>
          <m:e>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G</m:t>
                </m:r>
              </m:e>
              <m:sub>
                <m:sSub>
                  <m:sSubPr>
                    <m:ctrlPr>
                      <w:rPr>
                        <w:rFonts w:ascii="Cambria Math" w:hAnsi="Cambria Math" w:cstheme="minorHAnsi"/>
                        <w:i/>
                        <w:color w:val="000000" w:themeColor="text1"/>
                        <w:sz w:val="20"/>
                        <w:szCs w:val="28"/>
                      </w:rPr>
                    </m:ctrlPr>
                  </m:sSubPr>
                  <m:e>
                    <m:r>
                      <m:rPr>
                        <m:nor/>
                      </m:rPr>
                      <w:rPr>
                        <w:rFonts w:cstheme="minorHAnsi"/>
                        <w:color w:val="000000" w:themeColor="text1"/>
                        <w:sz w:val="20"/>
                        <w:szCs w:val="28"/>
                      </w:rPr>
                      <m:t>CO</m:t>
                    </m:r>
                  </m:e>
                  <m:sub>
                    <m:r>
                      <w:rPr>
                        <w:rFonts w:ascii="Cambria Math" w:hAnsi="Cambria Math" w:cstheme="minorHAnsi"/>
                        <w:color w:val="000000" w:themeColor="text1"/>
                        <w:sz w:val="20"/>
                        <w:szCs w:val="28"/>
                      </w:rPr>
                      <m:t>2</m:t>
                    </m:r>
                  </m:sub>
                </m:sSub>
              </m:sub>
            </m:sSub>
            <m:r>
              <w:rPr>
                <w:rFonts w:ascii="Cambria Math" w:hAnsi="Cambria Math" w:cstheme="minorHAnsi"/>
                <w:color w:val="000000" w:themeColor="text1"/>
                <w:sz w:val="20"/>
                <w:szCs w:val="28"/>
              </w:rPr>
              <m:t>+</m:t>
            </m:r>
            <m:f>
              <m:fPr>
                <m:ctrlPr>
                  <w:rPr>
                    <w:rFonts w:ascii="Cambria Math" w:hAnsi="Cambria Math" w:cstheme="minorHAnsi"/>
                    <w:i/>
                    <w:color w:val="000000" w:themeColor="text1"/>
                    <w:sz w:val="20"/>
                    <w:szCs w:val="28"/>
                  </w:rPr>
                </m:ctrlPr>
              </m:fPr>
              <m:num>
                <m:r>
                  <w:rPr>
                    <w:rFonts w:ascii="Cambria Math" w:hAnsi="Cambria Math" w:cstheme="minorHAnsi"/>
                    <w:color w:val="000000" w:themeColor="text1"/>
                    <w:sz w:val="20"/>
                    <w:szCs w:val="28"/>
                  </w:rPr>
                  <m:t>H</m:t>
                </m:r>
                <m:d>
                  <m:dPr>
                    <m:ctrlPr>
                      <w:rPr>
                        <w:rFonts w:ascii="Cambria Math" w:hAnsi="Cambria Math" w:cstheme="minorHAnsi"/>
                        <w:i/>
                        <w:color w:val="000000" w:themeColor="text1"/>
                        <w:sz w:val="20"/>
                        <w:szCs w:val="28"/>
                      </w:rPr>
                    </m:ctrlPr>
                  </m:dPr>
                  <m:e>
                    <m:r>
                      <w:rPr>
                        <w:rFonts w:ascii="Cambria Math" w:hAnsi="Cambria Math" w:cstheme="minorHAnsi"/>
                        <w:color w:val="000000" w:themeColor="text1"/>
                        <w:sz w:val="20"/>
                        <w:szCs w:val="28"/>
                      </w:rPr>
                      <m:t>1-α</m:t>
                    </m:r>
                  </m:e>
                </m:d>
                <m:r>
                  <w:rPr>
                    <w:rFonts w:ascii="Cambria Math" w:hAnsi="Cambria Math" w:cstheme="minorHAnsi"/>
                    <w:color w:val="000000" w:themeColor="text1"/>
                    <w:sz w:val="20"/>
                    <w:szCs w:val="28"/>
                  </w:rPr>
                  <m:t>∆F + α</m:t>
                </m:r>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F</m:t>
                    </m:r>
                  </m:e>
                </m:acc>
                <m:r>
                  <w:rPr>
                    <w:rFonts w:ascii="Cambria Math" w:hAnsi="Cambria Math" w:cstheme="minorHAnsi"/>
                    <w:color w:val="000000" w:themeColor="text1"/>
                    <w:sz w:val="20"/>
                    <w:szCs w:val="28"/>
                  </w:rPr>
                  <m:t>∆t</m:t>
                </m:r>
              </m:num>
              <m:den>
                <m:sSub>
                  <m:sSubPr>
                    <m:ctrlPr>
                      <w:rPr>
                        <w:rFonts w:ascii="Cambria Math" w:hAnsi="Cambria Math" w:cstheme="minorHAnsi"/>
                        <w:i/>
                        <w:color w:val="000000" w:themeColor="text1"/>
                        <w:sz w:val="20"/>
                        <w:szCs w:val="28"/>
                      </w:rPr>
                    </m:ctrlPr>
                  </m:sSubPr>
                  <m:e>
                    <m:r>
                      <m:rPr>
                        <m:nor/>
                      </m:rPr>
                      <w:rPr>
                        <w:rFonts w:cstheme="minorHAnsi"/>
                        <w:color w:val="000000" w:themeColor="text1"/>
                        <w:sz w:val="20"/>
                        <w:szCs w:val="28"/>
                      </w:rPr>
                      <m:t>AGWP</m:t>
                    </m:r>
                  </m:e>
                  <m:sub>
                    <m:r>
                      <w:rPr>
                        <w:rFonts w:ascii="Cambria Math" w:hAnsi="Cambria Math" w:cstheme="minorHAnsi"/>
                        <w:color w:val="000000" w:themeColor="text1"/>
                        <w:sz w:val="20"/>
                        <w:szCs w:val="28"/>
                      </w:rPr>
                      <m:t>H</m:t>
                    </m:r>
                  </m:sub>
                </m:sSub>
              </m:den>
            </m:f>
          </m:e>
        </m:d>
      </m:oMath>
      <w:r w:rsidRPr="009F25EB">
        <w:rPr>
          <w:rFonts w:cstheme="minorHAnsi"/>
          <w:sz w:val="20"/>
          <w:szCs w:val="28"/>
        </w:rPr>
        <w:t xml:space="preserve">     (2)</w:t>
      </w:r>
    </w:p>
    <w:p w14:paraId="6AECA16D" w14:textId="12F9CCCF" w:rsidR="00E73853" w:rsidRDefault="00E73853" w:rsidP="00E73853">
      <w:pPr>
        <w:jc w:val="center"/>
        <w:rPr>
          <w:rFonts w:cstheme="minorHAnsi"/>
          <w:sz w:val="20"/>
          <w:szCs w:val="28"/>
        </w:rPr>
      </w:pPr>
    </w:p>
    <w:p w14:paraId="73D14DF5" w14:textId="77777777" w:rsidR="00032935" w:rsidRDefault="00E73853" w:rsidP="00E73853">
      <w:pPr>
        <w:jc w:val="both"/>
        <w:rPr>
          <w:rFonts w:cstheme="minorHAnsi"/>
          <w:sz w:val="20"/>
          <w:szCs w:val="28"/>
        </w:rPr>
      </w:pPr>
      <w:r w:rsidRPr="009F25EB">
        <w:rPr>
          <w:rFonts w:cstheme="minorHAnsi"/>
          <w:sz w:val="20"/>
          <w:szCs w:val="28"/>
        </w:rPr>
        <w:t>where the TCRE is the transient climate response to emissions</w:t>
      </w:r>
      <w:r w:rsidRPr="009F25EB">
        <w:rPr>
          <w:rFonts w:cstheme="minorHAnsi"/>
          <w:sz w:val="20"/>
          <w:szCs w:val="28"/>
        </w:rPr>
        <w:fldChar w:fldCharType="begin"/>
      </w:r>
      <w:r w:rsidRPr="009F25EB">
        <w:rPr>
          <w:rFonts w:cstheme="minorHAnsi"/>
          <w:sz w:val="20"/>
          <w:szCs w:val="28"/>
        </w:rPr>
        <w:instrText xml:space="preserve"> ADDIN ZOTERO_ITEM CSL_CITATION {"citationID":"bsKb2APD","properties":{"formattedCitation":"\\super 11,12\\nosupersub{}","plainCitation":"11,12","noteIndex":0},"citationItems":[{"id":11,"uris":["http://zotero.org/users/local/uNYZvaCf/items/4QXD5C9E"],"uri":["http://zotero.org/users/local/uNYZvaCf/items/4QXD5C9E"],"itemData":{"id":11,"type":"article-journal","title":"Warming caused by cumulative carbon emissions towards the trillionth tonne","container-title":"Nature","page":"1163-1166","volume":"458","issue":"7242","source":"www.nature.com","abstract":"Global efforts to mitigate climate change are guided by projections of future temperatures1. But the eventual equilibrium global mean temperature associated with a given stabilization level of atmospheric greenhouse gas concentrations remains uncertain1,2,3, complicating the setting of stabilization targets to avoid potentially dangerous levels of global warming4,5,6,7,8. Similar problems apply to the carbon cycle: observations currently provide only a weak constraint on the response to future emissions9,10,11. Here we use ensemble simulations of simple climate-carbon-cycle models constrained by observations and projections from more comprehensive models to simulate the temperature response to a broad range of carbon dioxide emission pathways. We find that the peak warming caused by a given cumulative carbon dioxide emission is better constrained than the warming response to a stabilization scenario. Furthermore, the relationship between cumulative emissions and peak warming is remarkably insensitive to the emission pathway (timing of emissions or peak emission rate). Hence policy targets based on limiting cumulative emissions of carbon dioxide are likely to be more robust to scientific uncertainty than emission-rate or concentration targets. Total anthropogenic emissions of one trillion tonnes of carbon (3.67 trillion tonnes of CO2), about half of which has already been emitted since industrialization began, results in a most likely peak carbon-dioxide-induced warming of 2 °C above pre-industrial temperatures, with a 5–95% confidence interval of 1.3–3.9 °C.","DOI":"10.1038/nature08019","ISSN":"1476-4687","language":"en","author":[{"family":"Allen","given":"Myles R."},{"family":"Frame","given":"David J."},{"family":"Huntingford","given":"Chris"},{"family":"Jones","given":"Chris D."},{"family":"Lowe","given":"Jason A."},{"family":"Meinshausen","given":"Malte"},{"family":"Meinshausen","given":"Nicolai"}],"issued":{"date-parts":[["2009",4]]}}},{"id":204,"uris":["http://zotero.org/users/local/uNYZvaCf/items/5KDW7HQK"],"uri":["http://zotero.org/users/local/uNYZvaCf/items/5KDW7HQK"],"itemData":{"id":204,"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response1.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concentration2; (2) the total allowable emissions for climate stabilization do not depend on the timing of those emissions3,4,5; and (3) the temperature response to a pulse of CO2 is approximately constant on timescales of decades to centuries3,6,7,8.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emissions.","DOI":"10.1038/nature08047","ISSN":"1476-4687","language":"en","author":[{"family":"Matthews","given":"H. Damon"},{"family":"Gillett","given":"Nathan P."},{"family":"Stott","given":"Peter A."},{"family":"Zickfeld","given":"Kirsten"}],"issued":{"date-parts":[["2009",6]]}}}],"schema":"https://github.com/citation-style-language/schema/raw/master/csl-citation.json"}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11,12</w:t>
      </w:r>
      <w:r w:rsidRPr="009F25EB">
        <w:rPr>
          <w:rFonts w:cstheme="minorHAnsi"/>
          <w:sz w:val="20"/>
          <w:szCs w:val="28"/>
        </w:rPr>
        <w:fldChar w:fldCharType="end"/>
      </w:r>
      <w:r w:rsidRPr="009F25EB">
        <w:rPr>
          <w:rFonts w:cstheme="minorHAnsi"/>
          <w:sz w:val="20"/>
          <w:szCs w:val="28"/>
        </w:rPr>
        <w:t xml:space="preserve">, </w:t>
      </w:r>
      <m:oMath>
        <m:sSub>
          <m:sSubPr>
            <m:ctrlPr>
              <w:rPr>
                <w:rFonts w:ascii="Cambria Math" w:hAnsi="Cambria Math" w:cstheme="minorHAnsi"/>
                <w:i/>
                <w:sz w:val="20"/>
                <w:szCs w:val="28"/>
              </w:rPr>
            </m:ctrlPr>
          </m:sSubPr>
          <m:e>
            <m:r>
              <w:rPr>
                <w:rFonts w:ascii="Cambria Math" w:hAnsi="Cambria Math" w:cstheme="minorHAnsi"/>
                <w:sz w:val="20"/>
                <w:szCs w:val="28"/>
              </w:rPr>
              <m:t>G</m:t>
            </m:r>
          </m:e>
          <m:sub>
            <m:sSub>
              <m:sSubPr>
                <m:ctrlPr>
                  <w:rPr>
                    <w:rFonts w:ascii="Cambria Math" w:hAnsi="Cambria Math" w:cstheme="minorHAnsi"/>
                    <w:i/>
                    <w:sz w:val="20"/>
                    <w:szCs w:val="28"/>
                  </w:rPr>
                </m:ctrlPr>
              </m:sSubPr>
              <m:e>
                <m:r>
                  <m:rPr>
                    <m:nor/>
                  </m:rPr>
                  <w:rPr>
                    <w:rFonts w:cstheme="minorHAnsi"/>
                    <w:sz w:val="20"/>
                    <w:szCs w:val="28"/>
                  </w:rPr>
                  <m:t>CO</m:t>
                </m:r>
              </m:e>
              <m:sub>
                <m:r>
                  <w:rPr>
                    <w:rFonts w:ascii="Cambria Math" w:hAnsi="Cambria Math" w:cstheme="minorHAnsi"/>
                    <w:sz w:val="20"/>
                    <w:szCs w:val="28"/>
                  </w:rPr>
                  <m:t>2</m:t>
                </m:r>
              </m:sub>
            </m:sSub>
          </m:sub>
        </m:sSub>
      </m:oMath>
      <w:r w:rsidRPr="009F25EB">
        <w:rPr>
          <w:rFonts w:cstheme="minorHAnsi"/>
          <w:sz w:val="20"/>
          <w:szCs w:val="28"/>
        </w:rPr>
        <w:t xml:space="preserve"> represents cumulative CO</w:t>
      </w:r>
      <w:r w:rsidRPr="009F25EB">
        <w:rPr>
          <w:rFonts w:cstheme="minorHAnsi"/>
          <w:sz w:val="20"/>
          <w:szCs w:val="28"/>
          <w:vertAlign w:val="subscript"/>
        </w:rPr>
        <w:t>2</w:t>
      </w:r>
      <w:r w:rsidRPr="009F25EB">
        <w:rPr>
          <w:rFonts w:cstheme="minorHAnsi"/>
          <w:sz w:val="20"/>
          <w:szCs w:val="28"/>
        </w:rPr>
        <w:t xml:space="preserve"> emissions, </w:t>
      </w:r>
      <m:oMath>
        <m:acc>
          <m:accPr>
            <m:chr m:val="̅"/>
            <m:ctrlPr>
              <w:rPr>
                <w:rFonts w:ascii="Cambria Math" w:hAnsi="Cambria Math" w:cstheme="minorHAnsi"/>
                <w:i/>
                <w:sz w:val="20"/>
                <w:szCs w:val="28"/>
              </w:rPr>
            </m:ctrlPr>
          </m:accPr>
          <m:e>
            <m:r>
              <w:rPr>
                <w:rFonts w:ascii="Cambria Math" w:hAnsi="Cambria Math" w:cstheme="minorHAnsi"/>
                <w:sz w:val="20"/>
                <w:szCs w:val="28"/>
              </w:rPr>
              <m:t>F</m:t>
            </m:r>
          </m:e>
        </m:acc>
      </m:oMath>
      <w:r w:rsidRPr="009F25EB">
        <w:rPr>
          <w:rFonts w:cstheme="minorHAnsi"/>
          <w:sz w:val="20"/>
          <w:szCs w:val="28"/>
        </w:rPr>
        <w:t xml:space="preserve"> the average and </w:t>
      </w:r>
      <m:oMath>
        <m:r>
          <w:rPr>
            <w:rFonts w:ascii="Cambria Math" w:hAnsi="Cambria Math" w:cstheme="minorHAnsi"/>
            <w:sz w:val="20"/>
            <w:szCs w:val="28"/>
          </w:rPr>
          <m:t>∆F</m:t>
        </m:r>
      </m:oMath>
      <w:r w:rsidRPr="009F25EB">
        <w:rPr>
          <w:rFonts w:cstheme="minorHAnsi"/>
          <w:sz w:val="20"/>
          <w:szCs w:val="28"/>
        </w:rPr>
        <w:t xml:space="preserve"> the change in non-CO</w:t>
      </w:r>
      <w:r w:rsidRPr="009F25EB">
        <w:rPr>
          <w:rFonts w:cstheme="minorHAnsi"/>
          <w:sz w:val="20"/>
          <w:szCs w:val="28"/>
          <w:vertAlign w:val="subscript"/>
        </w:rPr>
        <w:t>2</w:t>
      </w:r>
      <w:r w:rsidRPr="009F25EB">
        <w:rPr>
          <w:rFonts w:cstheme="minorHAnsi"/>
          <w:sz w:val="20"/>
          <w:szCs w:val="28"/>
        </w:rPr>
        <w:t xml:space="preserve"> radiative forcing over that time-interval. This expression does not capture sub-decadal adjustments, so </w:t>
      </w:r>
      <m:oMath>
        <m:r>
          <w:rPr>
            <w:rFonts w:ascii="Cambria Math" w:hAnsi="Cambria Math" w:cstheme="minorHAnsi"/>
            <w:sz w:val="20"/>
            <w:szCs w:val="28"/>
          </w:rPr>
          <m:t>∆F</m:t>
        </m:r>
      </m:oMath>
      <w:r w:rsidRPr="009F25EB">
        <w:rPr>
          <w:rFonts w:cstheme="minorHAnsi"/>
          <w:sz w:val="20"/>
          <w:szCs w:val="28"/>
        </w:rPr>
        <w:t xml:space="preserve"> must </w:t>
      </w:r>
      <w:proofErr w:type="gramStart"/>
      <w:r w:rsidRPr="009F25EB">
        <w:rPr>
          <w:rFonts w:cstheme="minorHAnsi"/>
          <w:sz w:val="20"/>
          <w:szCs w:val="28"/>
        </w:rPr>
        <w:t>be defined</w:t>
      </w:r>
      <w:proofErr w:type="gramEnd"/>
      <w:r w:rsidRPr="009F25EB">
        <w:rPr>
          <w:rFonts w:cstheme="minorHAnsi"/>
          <w:sz w:val="20"/>
          <w:szCs w:val="28"/>
        </w:rPr>
        <w:t xml:space="preserve"> between periods each of at least a decade in duration.</w:t>
      </w:r>
      <w:r w:rsidR="00032935">
        <w:rPr>
          <w:rFonts w:cstheme="minorHAnsi"/>
          <w:sz w:val="20"/>
          <w:szCs w:val="28"/>
        </w:rPr>
        <w:t xml:space="preserve"> </w:t>
      </w:r>
    </w:p>
    <w:p w14:paraId="41B6DE74" w14:textId="77777777" w:rsidR="00032935" w:rsidRDefault="00032935" w:rsidP="00E73853">
      <w:pPr>
        <w:jc w:val="both"/>
        <w:rPr>
          <w:rFonts w:cstheme="minorHAnsi"/>
          <w:sz w:val="20"/>
          <w:szCs w:val="28"/>
        </w:rPr>
      </w:pPr>
    </w:p>
    <w:p w14:paraId="589E4E87" w14:textId="3FA89708" w:rsidR="00E73853" w:rsidRPr="00032935" w:rsidRDefault="00E73853" w:rsidP="00E73853">
      <w:pPr>
        <w:jc w:val="both"/>
        <w:rPr>
          <w:rFonts w:cstheme="minorHAnsi"/>
          <w:sz w:val="20"/>
          <w:szCs w:val="28"/>
        </w:rPr>
      </w:pPr>
      <w:r w:rsidRPr="009F25EB">
        <w:rPr>
          <w:rFonts w:eastAsiaTheme="minorEastAsia" w:cstheme="minorHAnsi"/>
          <w:sz w:val="20"/>
          <w:szCs w:val="28"/>
        </w:rPr>
        <w:t>Parties to the UNFCCC have agreed to aggregate emissions using consistent GWP</w:t>
      </w:r>
      <w:r w:rsidRPr="009F25EB">
        <w:rPr>
          <w:rFonts w:eastAsiaTheme="minorEastAsia" w:cstheme="minorHAnsi"/>
          <w:sz w:val="20"/>
          <w:szCs w:val="28"/>
          <w:vertAlign w:val="subscript"/>
        </w:rPr>
        <w:t>100</w:t>
      </w:r>
      <w:r w:rsidRPr="009F25EB">
        <w:rPr>
          <w:rFonts w:eastAsiaTheme="minorEastAsia" w:cstheme="minorHAnsi"/>
          <w:sz w:val="20"/>
          <w:szCs w:val="28"/>
        </w:rPr>
        <w:t xml:space="preserve"> values. If and only if emissions of long-lived pollutants (those with lifetimes longer than 100 years) </w:t>
      </w:r>
      <w:proofErr w:type="gramStart"/>
      <w:r w:rsidRPr="009F25EB">
        <w:rPr>
          <w:rFonts w:eastAsiaTheme="minorEastAsia" w:cstheme="minorHAnsi"/>
          <w:sz w:val="20"/>
          <w:szCs w:val="28"/>
        </w:rPr>
        <w:t>are aggregated</w:t>
      </w:r>
      <w:proofErr w:type="gramEnd"/>
      <w:r w:rsidRPr="009F25EB">
        <w:rPr>
          <w:rFonts w:eastAsiaTheme="minorEastAsia" w:cstheme="minorHAnsi"/>
          <w:sz w:val="20"/>
          <w:szCs w:val="28"/>
        </w:rPr>
        <w:t xml:space="preserve"> separately, this allows a further simplification of equation (2) for future warming (with </w:t>
      </w:r>
      <m:oMath>
        <m:r>
          <w:rPr>
            <w:rFonts w:ascii="Cambria Math" w:eastAsiaTheme="minorEastAsia" w:hAnsi="Cambria Math" w:cstheme="minorHAnsi"/>
            <w:sz w:val="20"/>
            <w:szCs w:val="28"/>
          </w:rPr>
          <m:t>α=0.25</m:t>
        </m:r>
      </m:oMath>
      <w:r w:rsidRPr="009F25EB">
        <w:rPr>
          <w:rFonts w:eastAsiaTheme="minorEastAsia" w:cstheme="minorHAnsi"/>
          <w:sz w:val="20"/>
          <w:szCs w:val="28"/>
        </w:rPr>
        <w:t>):</w:t>
      </w:r>
    </w:p>
    <w:p w14:paraId="4C376B08" w14:textId="77777777" w:rsidR="00E73853" w:rsidRPr="009F25EB" w:rsidRDefault="00E73853" w:rsidP="00E73853">
      <w:pPr>
        <w:jc w:val="both"/>
        <w:rPr>
          <w:rFonts w:eastAsiaTheme="minorEastAsia" w:cstheme="minorHAnsi"/>
          <w:sz w:val="20"/>
          <w:szCs w:val="28"/>
        </w:rPr>
      </w:pPr>
    </w:p>
    <w:p w14:paraId="0511F185" w14:textId="0143E65C" w:rsidR="00E73853" w:rsidRDefault="00E73853" w:rsidP="00E73853">
      <w:pPr>
        <w:jc w:val="center"/>
        <w:rPr>
          <w:rFonts w:eastAsiaTheme="minorEastAsia" w:cstheme="minorHAnsi"/>
          <w:sz w:val="20"/>
          <w:szCs w:val="28"/>
        </w:rPr>
      </w:pPr>
      <m:oMath>
        <m:r>
          <m:rPr>
            <m:sty m:val="p"/>
          </m:rPr>
          <w:rPr>
            <w:rFonts w:ascii="Cambria Math" w:hAnsi="Cambria Math" w:cstheme="minorHAnsi"/>
            <w:sz w:val="20"/>
            <w:szCs w:val="28"/>
          </w:rPr>
          <m:t>Δ</m:t>
        </m:r>
        <m:r>
          <w:rPr>
            <w:rFonts w:ascii="Cambria Math" w:hAnsi="Cambria Math" w:cstheme="minorHAnsi"/>
            <w:sz w:val="20"/>
            <w:szCs w:val="28"/>
          </w:rPr>
          <m:t>T=</m:t>
        </m:r>
        <m:r>
          <m:rPr>
            <m:nor/>
          </m:rPr>
          <w:rPr>
            <w:rFonts w:cstheme="minorHAnsi"/>
            <w:sz w:val="20"/>
            <w:szCs w:val="28"/>
          </w:rPr>
          <m:t>TCRE×</m:t>
        </m:r>
        <m:d>
          <m:dPr>
            <m:begChr m:val="["/>
            <m:endChr m:val="]"/>
            <m:ctrlPr>
              <w:rPr>
                <w:rFonts w:ascii="Cambria Math" w:hAnsi="Cambria Math" w:cstheme="minorHAnsi"/>
                <w:i/>
                <w:sz w:val="20"/>
                <w:szCs w:val="28"/>
              </w:rPr>
            </m:ctrlPr>
          </m:dPr>
          <m:e>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LLCP</m:t>
                </m:r>
              </m:sub>
            </m:sSub>
            <m:r>
              <w:rPr>
                <w:rFonts w:ascii="Cambria Math" w:hAnsi="Cambria Math" w:cstheme="minorHAnsi"/>
                <w:sz w:val="20"/>
                <w:szCs w:val="28"/>
              </w:rPr>
              <m:t>+75</m:t>
            </m:r>
            <m:sSub>
              <m:sSubPr>
                <m:ctrlPr>
                  <w:rPr>
                    <w:rFonts w:ascii="Cambria Math" w:hAnsi="Cambria Math" w:cstheme="minorHAnsi"/>
                    <w:i/>
                    <w:sz w:val="20"/>
                    <w:szCs w:val="28"/>
                  </w:rPr>
                </m:ctrlPr>
              </m:sSubPr>
              <m:e>
                <m:r>
                  <w:rPr>
                    <w:rFonts w:ascii="Cambria Math" w:hAnsi="Cambria Math" w:cstheme="minorHAnsi"/>
                    <w:sz w:val="20"/>
                    <w:szCs w:val="28"/>
                  </w:rPr>
                  <m:t>∆E</m:t>
                </m:r>
              </m:e>
              <m:sub>
                <m:r>
                  <m:rPr>
                    <m:nor/>
                  </m:rPr>
                  <w:rPr>
                    <w:rFonts w:cstheme="minorHAnsi"/>
                    <w:sz w:val="20"/>
                    <w:szCs w:val="28"/>
                  </w:rPr>
                  <m:t>SLCP</m:t>
                </m:r>
              </m:sub>
            </m:sSub>
            <m:r>
              <w:rPr>
                <w:rFonts w:ascii="Cambria Math" w:hAnsi="Cambria Math" w:cstheme="minorHAnsi"/>
                <w:sz w:val="20"/>
                <w:szCs w:val="28"/>
              </w:rPr>
              <m:t xml:space="preserve"> + 0.25</m:t>
            </m:r>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SLCP</m:t>
                </m:r>
              </m:sub>
            </m:sSub>
          </m:e>
        </m:d>
      </m:oMath>
      <w:r>
        <w:rPr>
          <w:rFonts w:eastAsiaTheme="minorEastAsia" w:cstheme="minorHAnsi"/>
          <w:sz w:val="20"/>
          <w:szCs w:val="28"/>
        </w:rPr>
        <w:t xml:space="preserve">     (3)</w:t>
      </w:r>
    </w:p>
    <w:p w14:paraId="24E8FBB0" w14:textId="190C657C" w:rsidR="00DA1215" w:rsidRDefault="00DA1215" w:rsidP="00E73853">
      <w:pPr>
        <w:jc w:val="center"/>
        <w:rPr>
          <w:rFonts w:eastAsiaTheme="minorEastAsia" w:cstheme="minorHAnsi"/>
          <w:sz w:val="20"/>
          <w:szCs w:val="28"/>
        </w:rPr>
      </w:pPr>
    </w:p>
    <w:p w14:paraId="436674C8" w14:textId="27D51098" w:rsidR="00DA1215" w:rsidRPr="004D23CA" w:rsidRDefault="00DA1215" w:rsidP="004D23CA">
      <w:pPr>
        <w:jc w:val="center"/>
        <w:rPr>
          <w:rFonts w:eastAsiaTheme="minorEastAsia" w:cstheme="minorHAnsi"/>
          <w:color w:val="FF0000"/>
          <w:sz w:val="20"/>
          <w:szCs w:val="28"/>
        </w:rPr>
      </w:pPr>
      <w:r w:rsidRPr="00DA1215">
        <w:rPr>
          <w:rFonts w:eastAsiaTheme="minorEastAsia" w:cstheme="minorHAnsi"/>
          <w:color w:val="FF0000"/>
          <w:sz w:val="20"/>
          <w:szCs w:val="28"/>
        </w:rPr>
        <w:t xml:space="preserve">Change this to an average over the 20 years (so 3.75 * </w:t>
      </w:r>
      <w:proofErr w:type="spellStart"/>
      <w:r w:rsidRPr="00DA1215">
        <w:rPr>
          <w:rFonts w:eastAsiaTheme="minorEastAsia" w:cstheme="minorHAnsi"/>
          <w:color w:val="FF0000"/>
          <w:sz w:val="20"/>
          <w:szCs w:val="28"/>
        </w:rPr>
        <w:t>deltaF</w:t>
      </w:r>
      <w:proofErr w:type="spellEnd"/>
      <w:r w:rsidRPr="00DA1215">
        <w:rPr>
          <w:rFonts w:eastAsiaTheme="minorEastAsia" w:cstheme="minorHAnsi"/>
          <w:color w:val="FF0000"/>
          <w:sz w:val="20"/>
          <w:szCs w:val="28"/>
        </w:rPr>
        <w:t xml:space="preserve"> and 0.25 * F) and link to dual metric stuff? i.e. 3.75 roughly looks like GWP20, 0.25 roughly looks like GTP100?</w:t>
      </w:r>
    </w:p>
    <w:p w14:paraId="1C6B261A" w14:textId="77777777" w:rsidR="00E73853" w:rsidRPr="009F25EB" w:rsidRDefault="00E73853" w:rsidP="00E73853">
      <w:pPr>
        <w:jc w:val="both"/>
        <w:rPr>
          <w:rFonts w:eastAsiaTheme="minorEastAsia" w:cstheme="minorHAnsi"/>
          <w:sz w:val="20"/>
          <w:szCs w:val="28"/>
        </w:rPr>
      </w:pPr>
    </w:p>
    <w:p w14:paraId="55A1826B" w14:textId="77777777" w:rsidR="00E73853" w:rsidRDefault="00E73853" w:rsidP="00E73853">
      <w:pPr>
        <w:jc w:val="both"/>
        <w:rPr>
          <w:rFonts w:asciiTheme="majorHAnsi" w:eastAsiaTheme="minorEastAsia" w:hAnsiTheme="majorHAnsi" w:cstheme="majorHAnsi"/>
          <w:b/>
          <w:noProof/>
          <w:sz w:val="21"/>
          <w:szCs w:val="28"/>
          <w:lang w:val="en-US"/>
        </w:rPr>
      </w:pPr>
      <w:r w:rsidRPr="009F25EB">
        <w:rPr>
          <w:rFonts w:eastAsiaTheme="minorEastAsia" w:cstheme="minorHAnsi"/>
          <w:sz w:val="20"/>
          <w:szCs w:val="28"/>
        </w:rPr>
        <w:t xml:space="preserve">where </w:t>
      </w:r>
      <m:oMath>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LLCP</m:t>
            </m:r>
          </m:sub>
        </m:sSub>
      </m:oMath>
      <w:r w:rsidRPr="009F25EB">
        <w:rPr>
          <w:rFonts w:eastAsiaTheme="minorEastAsia" w:cstheme="minorHAnsi"/>
          <w:sz w:val="20"/>
          <w:szCs w:val="28"/>
        </w:rPr>
        <w:t xml:space="preserve"> and </w:t>
      </w:r>
      <m:oMath>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SLCP</m:t>
            </m:r>
          </m:sub>
        </m:sSub>
        <m:r>
          <w:rPr>
            <w:rFonts w:ascii="Cambria Math" w:hAnsi="Cambria Math" w:cstheme="minorHAnsi"/>
            <w:sz w:val="20"/>
            <w:szCs w:val="28"/>
          </w:rPr>
          <m:t xml:space="preserve"> </m:t>
        </m:r>
      </m:oMath>
      <w:r w:rsidRPr="009F25EB">
        <w:rPr>
          <w:rFonts w:eastAsiaTheme="minorEastAsia" w:cstheme="minorHAnsi"/>
          <w:sz w:val="20"/>
          <w:szCs w:val="28"/>
        </w:rPr>
        <w:t xml:space="preserve">are future cumulative long-lived and short-lived climate pollutants and </w:t>
      </w:r>
      <m:oMath>
        <m:sSub>
          <m:sSubPr>
            <m:ctrlPr>
              <w:rPr>
                <w:rFonts w:ascii="Cambria Math" w:hAnsi="Cambria Math" w:cstheme="minorHAnsi"/>
                <w:i/>
                <w:sz w:val="20"/>
                <w:szCs w:val="28"/>
              </w:rPr>
            </m:ctrlPr>
          </m:sSubPr>
          <m:e>
            <m:r>
              <w:rPr>
                <w:rFonts w:ascii="Cambria Math" w:hAnsi="Cambria Math" w:cstheme="minorHAnsi"/>
                <w:sz w:val="20"/>
                <w:szCs w:val="28"/>
              </w:rPr>
              <m:t>∆E</m:t>
            </m:r>
          </m:e>
          <m:sub>
            <m:r>
              <m:rPr>
                <m:nor/>
              </m:rPr>
              <w:rPr>
                <w:rFonts w:cstheme="minorHAnsi"/>
                <w:sz w:val="20"/>
                <w:szCs w:val="28"/>
              </w:rPr>
              <m:t>SLCP</m:t>
            </m:r>
          </m:sub>
        </m:sSub>
      </m:oMath>
      <w:r w:rsidRPr="009F25EB">
        <w:rPr>
          <w:rFonts w:eastAsiaTheme="minorEastAsia" w:cstheme="minorHAnsi"/>
          <w:sz w:val="20"/>
          <w:szCs w:val="28"/>
        </w:rPr>
        <w:t xml:space="preserve"> is the change in SLCP emission rate between the most recent decade and the decade prior to peak warming, all expressed as aggregate CO</w:t>
      </w:r>
      <w:r w:rsidRPr="009F25EB">
        <w:rPr>
          <w:rFonts w:eastAsiaTheme="minorEastAsia" w:cstheme="minorHAnsi"/>
          <w:sz w:val="20"/>
          <w:szCs w:val="28"/>
          <w:vertAlign w:val="subscript"/>
        </w:rPr>
        <w:t>2</w:t>
      </w:r>
      <w:r w:rsidRPr="009F25EB">
        <w:rPr>
          <w:rFonts w:eastAsiaTheme="minorEastAsia" w:cstheme="minorHAnsi"/>
          <w:sz w:val="20"/>
          <w:szCs w:val="28"/>
        </w:rPr>
        <w:t>-equivalent using GWP</w:t>
      </w:r>
      <w:r w:rsidRPr="009F25EB">
        <w:rPr>
          <w:rFonts w:eastAsiaTheme="minorEastAsia" w:cstheme="minorHAnsi"/>
          <w:sz w:val="20"/>
          <w:szCs w:val="28"/>
          <w:vertAlign w:val="subscript"/>
        </w:rPr>
        <w:t>100</w:t>
      </w:r>
      <w:r w:rsidRPr="00AB27D5">
        <w:rPr>
          <w:rFonts w:eastAsiaTheme="minorEastAsia" w:cstheme="minorHAnsi"/>
          <w:sz w:val="20"/>
          <w:szCs w:val="28"/>
        </w:rPr>
        <w:t>.</w:t>
      </w:r>
    </w:p>
    <w:p w14:paraId="1432DE92" w14:textId="19F915AE" w:rsidR="00E73853" w:rsidRDefault="00E73853" w:rsidP="00E73853">
      <w:pPr>
        <w:rPr>
          <w:rFonts w:cstheme="minorHAnsi"/>
          <w:sz w:val="20"/>
          <w:szCs w:val="28"/>
        </w:rPr>
      </w:pPr>
    </w:p>
    <w:p w14:paraId="4207C657" w14:textId="77777777" w:rsidR="004D76BA" w:rsidRDefault="00032935" w:rsidP="00E73853">
      <w:pPr>
        <w:rPr>
          <w:rFonts w:cstheme="minorHAnsi"/>
          <w:sz w:val="20"/>
          <w:szCs w:val="28"/>
        </w:rPr>
      </w:pPr>
      <w:r>
        <w:rPr>
          <w:rFonts w:cstheme="minorHAnsi"/>
          <w:sz w:val="20"/>
          <w:szCs w:val="28"/>
        </w:rPr>
        <w:t xml:space="preserve">Figure 1 is </w:t>
      </w:r>
      <w:r w:rsidR="00890AA3">
        <w:rPr>
          <w:rFonts w:cstheme="minorHAnsi"/>
          <w:sz w:val="20"/>
          <w:szCs w:val="28"/>
        </w:rPr>
        <w:t>based on figure 2</w:t>
      </w:r>
      <w:r>
        <w:rPr>
          <w:rFonts w:cstheme="minorHAnsi"/>
          <w:sz w:val="20"/>
          <w:szCs w:val="28"/>
        </w:rPr>
        <w:t xml:space="preserve"> </w:t>
      </w:r>
      <w:r w:rsidR="00890AA3">
        <w:rPr>
          <w:rFonts w:cstheme="minorHAnsi"/>
          <w:sz w:val="20"/>
          <w:szCs w:val="28"/>
        </w:rPr>
        <w:t xml:space="preserve">in </w:t>
      </w:r>
      <w:r>
        <w:rPr>
          <w:rFonts w:cstheme="minorHAnsi"/>
          <w:sz w:val="20"/>
          <w:szCs w:val="28"/>
        </w:rPr>
        <w:t xml:space="preserve">Jenkins </w:t>
      </w:r>
      <w:r w:rsidRPr="00EC5B20">
        <w:rPr>
          <w:rFonts w:cstheme="minorHAnsi"/>
          <w:i/>
          <w:iCs/>
          <w:sz w:val="20"/>
          <w:szCs w:val="28"/>
        </w:rPr>
        <w:t>et al.</w:t>
      </w:r>
      <w:r>
        <w:rPr>
          <w:rFonts w:cstheme="minorHAnsi"/>
          <w:sz w:val="20"/>
          <w:szCs w:val="28"/>
        </w:rPr>
        <w:t xml:space="preserve"> (2019, in prep.)</w:t>
      </w:r>
      <w:r>
        <w:rPr>
          <w:rFonts w:cstheme="minorHAnsi"/>
          <w:sz w:val="20"/>
          <w:szCs w:val="28"/>
        </w:rPr>
        <w:t xml:space="preserve">. </w:t>
      </w:r>
      <w:r w:rsidR="00EC5B20">
        <w:rPr>
          <w:rFonts w:cstheme="minorHAnsi"/>
          <w:sz w:val="20"/>
          <w:szCs w:val="28"/>
        </w:rPr>
        <w:t>Figure 1</w:t>
      </w:r>
      <w:r>
        <w:rPr>
          <w:rFonts w:cstheme="minorHAnsi"/>
          <w:sz w:val="20"/>
          <w:szCs w:val="28"/>
        </w:rPr>
        <w:t>a</w:t>
      </w:r>
      <w:r w:rsidR="00EC5B20">
        <w:rPr>
          <w:rFonts w:cstheme="minorHAnsi"/>
          <w:sz w:val="20"/>
          <w:szCs w:val="28"/>
        </w:rPr>
        <w:t xml:space="preserve"> shows the median RF scenario from all 1.5</w:t>
      </w:r>
      <w:r w:rsidR="00EC5B20">
        <w:rPr>
          <w:rFonts w:eastAsia="Cambria Math" w:cstheme="minorHAnsi" w:hint="eastAsia"/>
          <w:sz w:val="20"/>
          <w:szCs w:val="28"/>
        </w:rPr>
        <w:t>℃</w:t>
      </w:r>
      <w:r w:rsidR="00EC5B20">
        <w:rPr>
          <w:rFonts w:cstheme="minorHAnsi"/>
          <w:sz w:val="20"/>
          <w:szCs w:val="28"/>
        </w:rPr>
        <w:t xml:space="preserve">-compatible scenarios in the SR15 scenario database[!!]. Figure 1b shows </w:t>
      </w:r>
      <w:r>
        <w:rPr>
          <w:rFonts w:cstheme="minorHAnsi"/>
          <w:sz w:val="20"/>
          <w:szCs w:val="28"/>
        </w:rPr>
        <w:t xml:space="preserve">the </w:t>
      </w:r>
      <w:r w:rsidR="00EC5B20">
        <w:rPr>
          <w:rFonts w:cstheme="minorHAnsi"/>
          <w:sz w:val="20"/>
          <w:szCs w:val="28"/>
        </w:rPr>
        <w:t>CO</w:t>
      </w:r>
      <w:r w:rsidR="00EC5B20" w:rsidRPr="00EC5B20">
        <w:rPr>
          <w:rFonts w:cstheme="minorHAnsi"/>
          <w:sz w:val="20"/>
          <w:szCs w:val="28"/>
          <w:vertAlign w:val="subscript"/>
        </w:rPr>
        <w:t>2</w:t>
      </w:r>
      <w:r w:rsidR="00EC5B20">
        <w:rPr>
          <w:rFonts w:cstheme="minorHAnsi"/>
          <w:sz w:val="20"/>
          <w:szCs w:val="28"/>
        </w:rPr>
        <w:t>-fe emissions</w:t>
      </w:r>
      <w:r>
        <w:rPr>
          <w:rFonts w:cstheme="minorHAnsi"/>
          <w:sz w:val="20"/>
          <w:szCs w:val="28"/>
        </w:rPr>
        <w:t xml:space="preserve"> timeseries resulting from the application of equation 1</w:t>
      </w:r>
      <w:r w:rsidR="00EC5B20">
        <w:rPr>
          <w:rFonts w:cstheme="minorHAnsi"/>
          <w:sz w:val="20"/>
          <w:szCs w:val="28"/>
        </w:rPr>
        <w:t>. Panel 1c show the corresponding temperature responses by component</w:t>
      </w:r>
      <w:r w:rsidR="00890AA3">
        <w:rPr>
          <w:rFonts w:cstheme="minorHAnsi"/>
          <w:sz w:val="20"/>
          <w:szCs w:val="28"/>
        </w:rPr>
        <w:t>.</w:t>
      </w:r>
      <w:r w:rsidR="00EC5B20">
        <w:rPr>
          <w:rFonts w:cstheme="minorHAnsi"/>
          <w:sz w:val="20"/>
          <w:szCs w:val="28"/>
        </w:rPr>
        <w:t xml:space="preserve"> </w:t>
      </w:r>
      <w:r w:rsidR="00890AA3">
        <w:rPr>
          <w:rFonts w:cstheme="minorHAnsi"/>
          <w:sz w:val="20"/>
          <w:szCs w:val="28"/>
        </w:rPr>
        <w:t>Here, t</w:t>
      </w:r>
      <w:r w:rsidR="00EC5B20">
        <w:rPr>
          <w:rFonts w:cstheme="minorHAnsi"/>
          <w:sz w:val="20"/>
          <w:szCs w:val="28"/>
        </w:rPr>
        <w:t xml:space="preserve">he </w:t>
      </w:r>
      <w:r w:rsidR="00172D64">
        <w:rPr>
          <w:rFonts w:cstheme="minorHAnsi"/>
          <w:sz w:val="20"/>
          <w:szCs w:val="28"/>
        </w:rPr>
        <w:t>solid</w:t>
      </w:r>
      <w:r w:rsidR="00EC5B20">
        <w:rPr>
          <w:rFonts w:cstheme="minorHAnsi"/>
          <w:sz w:val="20"/>
          <w:szCs w:val="28"/>
        </w:rPr>
        <w:t xml:space="preserve"> lines</w:t>
      </w:r>
      <w:r w:rsidR="00172D64">
        <w:rPr>
          <w:rFonts w:cstheme="minorHAnsi"/>
          <w:sz w:val="20"/>
          <w:szCs w:val="28"/>
        </w:rPr>
        <w:t xml:space="preserve"> plot </w:t>
      </w:r>
      <w:r w:rsidR="00EC5B20">
        <w:rPr>
          <w:rFonts w:cstheme="minorHAnsi"/>
          <w:sz w:val="20"/>
          <w:szCs w:val="28"/>
        </w:rPr>
        <w:t>the cumulative CO</w:t>
      </w:r>
      <w:r w:rsidR="00EC5B20" w:rsidRPr="00EC5B20">
        <w:rPr>
          <w:rFonts w:cstheme="minorHAnsi"/>
          <w:sz w:val="20"/>
          <w:szCs w:val="28"/>
          <w:vertAlign w:val="subscript"/>
        </w:rPr>
        <w:t>2</w:t>
      </w:r>
      <w:r w:rsidR="00EC5B20">
        <w:rPr>
          <w:rFonts w:cstheme="minorHAnsi"/>
          <w:sz w:val="20"/>
          <w:szCs w:val="28"/>
        </w:rPr>
        <w:t>-fe emissions of each pollutant</w:t>
      </w:r>
      <w:r w:rsidR="00172D64">
        <w:rPr>
          <w:rFonts w:cstheme="minorHAnsi"/>
          <w:sz w:val="20"/>
          <w:szCs w:val="28"/>
        </w:rPr>
        <w:t>, while d</w:t>
      </w:r>
      <w:r w:rsidR="00172D64">
        <w:rPr>
          <w:rFonts w:cstheme="minorHAnsi"/>
          <w:sz w:val="20"/>
          <w:szCs w:val="28"/>
        </w:rPr>
        <w:t>otted lines show the equivalent conversion using the commonly used GWP</w:t>
      </w:r>
      <w:r w:rsidR="00172D64" w:rsidRPr="00EC5B20">
        <w:rPr>
          <w:rFonts w:cstheme="minorHAnsi"/>
          <w:sz w:val="20"/>
          <w:szCs w:val="28"/>
          <w:vertAlign w:val="subscript"/>
        </w:rPr>
        <w:t>100</w:t>
      </w:r>
      <w:r w:rsidR="00172D64">
        <w:rPr>
          <w:rFonts w:cstheme="minorHAnsi"/>
          <w:sz w:val="20"/>
          <w:szCs w:val="28"/>
        </w:rPr>
        <w:t xml:space="preserve"> metric</w:t>
      </w:r>
      <w:r w:rsidR="00172D64">
        <w:rPr>
          <w:rFonts w:cstheme="minorHAnsi"/>
          <w:sz w:val="20"/>
          <w:szCs w:val="28"/>
        </w:rPr>
        <w:t xml:space="preserve">. </w:t>
      </w:r>
      <w:r w:rsidR="00627FBB">
        <w:rPr>
          <w:rFonts w:cstheme="minorHAnsi"/>
          <w:sz w:val="20"/>
          <w:szCs w:val="28"/>
        </w:rPr>
        <w:t>Cumulative CO</w:t>
      </w:r>
      <w:r w:rsidR="00627FBB" w:rsidRPr="00627FBB">
        <w:rPr>
          <w:rFonts w:cstheme="minorHAnsi"/>
          <w:sz w:val="20"/>
          <w:szCs w:val="28"/>
          <w:vertAlign w:val="subscript"/>
        </w:rPr>
        <w:t>2</w:t>
      </w:r>
      <w:r w:rsidR="00627FBB">
        <w:rPr>
          <w:rFonts w:cstheme="minorHAnsi"/>
          <w:sz w:val="20"/>
          <w:szCs w:val="28"/>
        </w:rPr>
        <w:t>-fe emissions track the warming response shape, while GWP</w:t>
      </w:r>
      <w:r w:rsidR="00627FBB" w:rsidRPr="00627FBB">
        <w:rPr>
          <w:rFonts w:cstheme="minorHAnsi"/>
          <w:sz w:val="20"/>
          <w:szCs w:val="28"/>
          <w:vertAlign w:val="subscript"/>
        </w:rPr>
        <w:t>100</w:t>
      </w:r>
      <w:r w:rsidR="00627FBB">
        <w:rPr>
          <w:rFonts w:cstheme="minorHAnsi"/>
          <w:sz w:val="20"/>
          <w:szCs w:val="28"/>
        </w:rPr>
        <w:t xml:space="preserve"> emissions timeseries fail for short-lived climate pollutants.</w:t>
      </w:r>
    </w:p>
    <w:p w14:paraId="5261D526" w14:textId="511F8A41" w:rsidR="00C36302" w:rsidRDefault="004D76BA" w:rsidP="00E73853">
      <w:pPr>
        <w:rPr>
          <w:rFonts w:cstheme="minorHAnsi"/>
          <w:sz w:val="20"/>
          <w:szCs w:val="28"/>
        </w:rPr>
      </w:pPr>
      <w:r w:rsidRPr="008D354D">
        <w:rPr>
          <w:rFonts w:eastAsiaTheme="minorHAnsi" w:cstheme="minorHAnsi"/>
          <w:b/>
          <w:bCs/>
          <w:noProof/>
          <w:sz w:val="20"/>
          <w:szCs w:val="28"/>
        </w:rPr>
        <w:lastRenderedPageBreak/>
        <w:drawing>
          <wp:anchor distT="0" distB="0" distL="114300" distR="114300" simplePos="0" relativeHeight="251659264" behindDoc="0" locked="0" layoutInCell="1" allowOverlap="1" wp14:anchorId="53332097" wp14:editId="0B86161C">
            <wp:simplePos x="0" y="0"/>
            <wp:positionH relativeFrom="column">
              <wp:posOffset>4064000</wp:posOffset>
            </wp:positionH>
            <wp:positionV relativeFrom="page">
              <wp:posOffset>448310</wp:posOffset>
            </wp:positionV>
            <wp:extent cx="2251075" cy="18751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_stacked2.pdf"/>
                    <pic:cNvPicPr/>
                  </pic:nvPicPr>
                  <pic:blipFill>
                    <a:blip r:embed="rId5">
                      <a:extLst>
                        <a:ext uri="{28A0092B-C50C-407E-A947-70E740481C1C}">
                          <a14:useLocalDpi xmlns:a14="http://schemas.microsoft.com/office/drawing/2010/main" val="0"/>
                        </a:ext>
                      </a:extLst>
                    </a:blip>
                    <a:stretch>
                      <a:fillRect/>
                    </a:stretch>
                  </pic:blipFill>
                  <pic:spPr>
                    <a:xfrm>
                      <a:off x="0" y="0"/>
                      <a:ext cx="2251075" cy="1875155"/>
                    </a:xfrm>
                    <a:prstGeom prst="rect">
                      <a:avLst/>
                    </a:prstGeom>
                  </pic:spPr>
                </pic:pic>
              </a:graphicData>
            </a:graphic>
            <wp14:sizeRelH relativeFrom="page">
              <wp14:pctWidth>0</wp14:pctWidth>
            </wp14:sizeRelH>
            <wp14:sizeRelV relativeFrom="page">
              <wp14:pctHeight>0</wp14:pctHeight>
            </wp14:sizeRelV>
          </wp:anchor>
        </w:drawing>
      </w:r>
    </w:p>
    <w:p w14:paraId="37C92911" w14:textId="77777777" w:rsidR="008D354D" w:rsidRDefault="008D354D" w:rsidP="00E73853">
      <w:pPr>
        <w:rPr>
          <w:rFonts w:eastAsiaTheme="minorHAnsi" w:cstheme="minorHAnsi"/>
          <w:sz w:val="20"/>
          <w:szCs w:val="28"/>
        </w:rPr>
      </w:pPr>
    </w:p>
    <w:p w14:paraId="0425582C" w14:textId="0F2D348C" w:rsidR="00C36302" w:rsidRDefault="00C36302" w:rsidP="00E73853">
      <w:pPr>
        <w:rPr>
          <w:rFonts w:eastAsiaTheme="minorHAnsi" w:cstheme="minorHAnsi"/>
          <w:sz w:val="20"/>
          <w:szCs w:val="28"/>
        </w:rPr>
      </w:pPr>
      <w:r w:rsidRPr="008D354D">
        <w:rPr>
          <w:rFonts w:eastAsiaTheme="minorHAnsi" w:cstheme="minorHAnsi"/>
          <w:b/>
          <w:bCs/>
          <w:noProof/>
          <w:sz w:val="20"/>
          <w:szCs w:val="28"/>
        </w:rPr>
        <w:drawing>
          <wp:anchor distT="0" distB="0" distL="114300" distR="114300" simplePos="0" relativeHeight="251657215" behindDoc="0" locked="0" layoutInCell="1" allowOverlap="1" wp14:anchorId="5E53A5A1" wp14:editId="675FF215">
            <wp:simplePos x="0" y="0"/>
            <wp:positionH relativeFrom="column">
              <wp:posOffset>-220980</wp:posOffset>
            </wp:positionH>
            <wp:positionV relativeFrom="page">
              <wp:posOffset>423545</wp:posOffset>
            </wp:positionV>
            <wp:extent cx="2270760" cy="18916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_co2fe_stack.pdf"/>
                    <pic:cNvPicPr/>
                  </pic:nvPicPr>
                  <pic:blipFill>
                    <a:blip r:embed="rId6">
                      <a:extLst>
                        <a:ext uri="{28A0092B-C50C-407E-A947-70E740481C1C}">
                          <a14:useLocalDpi xmlns:a14="http://schemas.microsoft.com/office/drawing/2010/main" val="0"/>
                        </a:ext>
                      </a:extLst>
                    </a:blip>
                    <a:stretch>
                      <a:fillRect/>
                    </a:stretch>
                  </pic:blipFill>
                  <pic:spPr>
                    <a:xfrm>
                      <a:off x="0" y="0"/>
                      <a:ext cx="2270760" cy="1891665"/>
                    </a:xfrm>
                    <a:prstGeom prst="rect">
                      <a:avLst/>
                    </a:prstGeom>
                  </pic:spPr>
                </pic:pic>
              </a:graphicData>
            </a:graphic>
            <wp14:sizeRelH relativeFrom="page">
              <wp14:pctWidth>0</wp14:pctWidth>
            </wp14:sizeRelH>
            <wp14:sizeRelV relativeFrom="page">
              <wp14:pctHeight>0</wp14:pctHeight>
            </wp14:sizeRelV>
          </wp:anchor>
        </w:drawing>
      </w:r>
      <w:r w:rsidRPr="008D354D">
        <w:rPr>
          <w:rFonts w:eastAsiaTheme="minorHAnsi" w:cstheme="minorHAnsi"/>
          <w:b/>
          <w:bCs/>
          <w:noProof/>
          <w:sz w:val="20"/>
          <w:szCs w:val="28"/>
        </w:rPr>
        <w:drawing>
          <wp:anchor distT="0" distB="0" distL="114300" distR="114300" simplePos="0" relativeHeight="251658240" behindDoc="0" locked="0" layoutInCell="1" allowOverlap="1" wp14:anchorId="508BE2EB" wp14:editId="6EF265EC">
            <wp:simplePos x="0" y="0"/>
            <wp:positionH relativeFrom="column">
              <wp:posOffset>1882987</wp:posOffset>
            </wp:positionH>
            <wp:positionV relativeFrom="page">
              <wp:posOffset>424180</wp:posOffset>
            </wp:positionV>
            <wp:extent cx="2283460" cy="1903095"/>
            <wp:effectExtent l="0" t="0" r="254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_co2fe_stack.pdf"/>
                    <pic:cNvPicPr/>
                  </pic:nvPicPr>
                  <pic:blipFill>
                    <a:blip r:embed="rId6">
                      <a:extLst>
                        <a:ext uri="{28A0092B-C50C-407E-A947-70E740481C1C}">
                          <a14:useLocalDpi xmlns:a14="http://schemas.microsoft.com/office/drawing/2010/main" val="0"/>
                        </a:ext>
                      </a:extLst>
                    </a:blip>
                    <a:stretch>
                      <a:fillRect/>
                    </a:stretch>
                  </pic:blipFill>
                  <pic:spPr>
                    <a:xfrm>
                      <a:off x="0" y="0"/>
                      <a:ext cx="2283460" cy="1903095"/>
                    </a:xfrm>
                    <a:prstGeom prst="rect">
                      <a:avLst/>
                    </a:prstGeom>
                  </pic:spPr>
                </pic:pic>
              </a:graphicData>
            </a:graphic>
            <wp14:sizeRelH relativeFrom="page">
              <wp14:pctWidth>0</wp14:pctWidth>
            </wp14:sizeRelH>
            <wp14:sizeRelV relativeFrom="page">
              <wp14:pctHeight>0</wp14:pctHeight>
            </wp14:sizeRelV>
          </wp:anchor>
        </w:drawing>
      </w:r>
      <w:r w:rsidR="008D354D" w:rsidRPr="008D354D">
        <w:rPr>
          <w:rFonts w:eastAsiaTheme="minorHAnsi" w:cstheme="minorHAnsi"/>
          <w:b/>
          <w:bCs/>
          <w:sz w:val="20"/>
          <w:szCs w:val="28"/>
        </w:rPr>
        <w:t>Figure 1</w:t>
      </w:r>
      <w:r w:rsidR="008D354D">
        <w:rPr>
          <w:rFonts w:eastAsiaTheme="minorHAnsi" w:cstheme="minorHAnsi"/>
          <w:sz w:val="20"/>
          <w:szCs w:val="28"/>
        </w:rPr>
        <w:t xml:space="preserve">: Panel a </w:t>
      </w:r>
      <w:proofErr w:type="gramStart"/>
      <w:r w:rsidR="008D354D">
        <w:rPr>
          <w:rFonts w:eastAsiaTheme="minorHAnsi" w:cstheme="minorHAnsi"/>
          <w:sz w:val="20"/>
          <w:szCs w:val="28"/>
        </w:rPr>
        <w:t>shows</w:t>
      </w:r>
      <w:proofErr w:type="gramEnd"/>
      <w:r w:rsidR="008D354D">
        <w:rPr>
          <w:rFonts w:eastAsiaTheme="minorHAnsi" w:cstheme="minorHAnsi"/>
          <w:sz w:val="20"/>
          <w:szCs w:val="28"/>
        </w:rPr>
        <w:t xml:space="preserve"> the stacked contributions from components of the total anthropogenic radiative forcing in the median </w:t>
      </w:r>
      <w:r w:rsidR="008D354D">
        <w:rPr>
          <w:rFonts w:eastAsiaTheme="minorHAnsi" w:cstheme="minorHAnsi"/>
          <w:sz w:val="20"/>
          <w:szCs w:val="28"/>
        </w:rPr>
        <w:t>1.5</w:t>
      </w:r>
      <w:r w:rsidR="0064435F">
        <w:rPr>
          <w:rFonts w:eastAsia="Cambria Math" w:cstheme="minorHAnsi" w:hint="eastAsia"/>
          <w:sz w:val="20"/>
          <w:szCs w:val="28"/>
        </w:rPr>
        <w:t>℃</w:t>
      </w:r>
      <w:r w:rsidR="008D354D">
        <w:rPr>
          <w:rFonts w:eastAsiaTheme="minorHAnsi" w:cstheme="minorHAnsi"/>
          <w:sz w:val="20"/>
          <w:szCs w:val="28"/>
        </w:rPr>
        <w:t>-compatible</w:t>
      </w:r>
      <w:r w:rsidR="008D354D">
        <w:rPr>
          <w:rFonts w:eastAsiaTheme="minorHAnsi" w:cstheme="minorHAnsi"/>
          <w:sz w:val="20"/>
          <w:szCs w:val="28"/>
        </w:rPr>
        <w:t xml:space="preserve"> scenario in the SR15 scenarios database.</w:t>
      </w:r>
      <w:r w:rsidR="000A62FA">
        <w:rPr>
          <w:rFonts w:eastAsiaTheme="minorHAnsi" w:cstheme="minorHAnsi"/>
          <w:sz w:val="20"/>
          <w:szCs w:val="28"/>
        </w:rPr>
        <w:t xml:space="preserve"> Panel b shows the annual CO</w:t>
      </w:r>
      <w:r w:rsidR="000A62FA" w:rsidRPr="00402E4A">
        <w:rPr>
          <w:rFonts w:eastAsiaTheme="minorHAnsi" w:cstheme="minorHAnsi"/>
          <w:sz w:val="20"/>
          <w:szCs w:val="28"/>
          <w:vertAlign w:val="subscript"/>
        </w:rPr>
        <w:t>2</w:t>
      </w:r>
      <w:r w:rsidR="000A62FA">
        <w:rPr>
          <w:rFonts w:eastAsiaTheme="minorHAnsi" w:cstheme="minorHAnsi"/>
          <w:sz w:val="20"/>
          <w:szCs w:val="28"/>
        </w:rPr>
        <w:t>-fe emissions timeseries as calculated by inverting the FaIRv1.0 carbon cycle model (dotted) and using equation 1 to approximate (solid). Panel c shows the temperature response from pre-industrial (1850-1900) for the anthropogenic radiative forcing, coloured by contribution from each component. Solid lines show the cumulative CO</w:t>
      </w:r>
      <w:r w:rsidR="000A62FA" w:rsidRPr="000A62FA">
        <w:rPr>
          <w:rFonts w:eastAsiaTheme="minorHAnsi" w:cstheme="minorHAnsi"/>
          <w:sz w:val="20"/>
          <w:szCs w:val="28"/>
          <w:vertAlign w:val="subscript"/>
        </w:rPr>
        <w:t>2</w:t>
      </w:r>
      <w:r w:rsidR="000A62FA">
        <w:rPr>
          <w:rFonts w:eastAsiaTheme="minorHAnsi" w:cstheme="minorHAnsi"/>
          <w:sz w:val="20"/>
          <w:szCs w:val="28"/>
        </w:rPr>
        <w:t>-fe emissions of each pollutant, which track the temperature response better than the GWP</w:t>
      </w:r>
      <w:r w:rsidR="000A62FA" w:rsidRPr="000A62FA">
        <w:rPr>
          <w:rFonts w:eastAsiaTheme="minorHAnsi" w:cstheme="minorHAnsi"/>
          <w:sz w:val="20"/>
          <w:szCs w:val="28"/>
          <w:vertAlign w:val="subscript"/>
        </w:rPr>
        <w:t>100</w:t>
      </w:r>
      <w:r w:rsidR="000A62FA">
        <w:rPr>
          <w:rFonts w:eastAsiaTheme="minorHAnsi" w:cstheme="minorHAnsi"/>
          <w:sz w:val="20"/>
          <w:szCs w:val="28"/>
        </w:rPr>
        <w:t xml:space="preserve"> converted cumulative emissions (dotted).  </w:t>
      </w:r>
    </w:p>
    <w:p w14:paraId="438DD446" w14:textId="331561A4" w:rsidR="00DA1215" w:rsidRDefault="00DA1215" w:rsidP="00E73853">
      <w:pPr>
        <w:rPr>
          <w:rFonts w:eastAsiaTheme="minorHAnsi" w:cstheme="minorHAnsi"/>
          <w:sz w:val="20"/>
          <w:szCs w:val="28"/>
        </w:rPr>
      </w:pPr>
    </w:p>
    <w:p w14:paraId="564F8CBF" w14:textId="44D74FC2" w:rsidR="00DA1215" w:rsidRDefault="00DA1215" w:rsidP="00E73853">
      <w:pPr>
        <w:rPr>
          <w:rFonts w:eastAsiaTheme="minorHAnsi" w:cstheme="minorHAnsi"/>
          <w:sz w:val="20"/>
          <w:szCs w:val="28"/>
        </w:rPr>
      </w:pPr>
    </w:p>
    <w:p w14:paraId="131B8D30" w14:textId="23041766" w:rsidR="00DA1215" w:rsidRDefault="00DA1215" w:rsidP="00E73853">
      <w:pPr>
        <w:rPr>
          <w:rFonts w:eastAsiaTheme="minorHAnsi" w:cstheme="minorHAnsi"/>
          <w:sz w:val="20"/>
          <w:szCs w:val="28"/>
        </w:rPr>
      </w:pPr>
    </w:p>
    <w:p w14:paraId="6F0256EE" w14:textId="3E051239" w:rsidR="00DA1215" w:rsidRDefault="00DA1215" w:rsidP="00E73853">
      <w:pPr>
        <w:rPr>
          <w:rFonts w:eastAsiaTheme="minorHAnsi" w:cstheme="minorHAnsi"/>
          <w:b/>
          <w:bCs/>
          <w:sz w:val="20"/>
          <w:szCs w:val="28"/>
          <w:u w:val="single"/>
        </w:rPr>
      </w:pPr>
      <w:r w:rsidRPr="00DA1215">
        <w:rPr>
          <w:rFonts w:eastAsiaTheme="minorHAnsi" w:cstheme="minorHAnsi"/>
          <w:b/>
          <w:bCs/>
          <w:sz w:val="20"/>
          <w:szCs w:val="28"/>
          <w:u w:val="single"/>
        </w:rPr>
        <w:t>References</w:t>
      </w:r>
    </w:p>
    <w:p w14:paraId="6398E7E0" w14:textId="7C046E0A" w:rsidR="00DA1215" w:rsidRDefault="00DA1215" w:rsidP="00E73853">
      <w:pPr>
        <w:rPr>
          <w:rFonts w:eastAsiaTheme="minorHAnsi" w:cstheme="minorHAnsi"/>
          <w:b/>
          <w:bCs/>
          <w:sz w:val="20"/>
          <w:szCs w:val="28"/>
          <w:u w:val="single"/>
        </w:rPr>
      </w:pPr>
    </w:p>
    <w:p w14:paraId="655417FC" w14:textId="3B1A7694" w:rsidR="00DA1215" w:rsidRPr="00DA1215" w:rsidRDefault="00DA1215" w:rsidP="00E73853">
      <w:pPr>
        <w:rPr>
          <w:rFonts w:eastAsiaTheme="minorHAnsi" w:cstheme="minorHAnsi"/>
          <w:sz w:val="20"/>
          <w:szCs w:val="28"/>
        </w:rPr>
      </w:pPr>
      <w:bookmarkStart w:id="0" w:name="_GoBack"/>
      <w:bookmarkEnd w:id="0"/>
    </w:p>
    <w:sectPr w:rsidR="00DA1215" w:rsidRPr="00DA1215" w:rsidSect="00EC5B20">
      <w:pgSz w:w="11900" w:h="16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32AF8"/>
    <w:multiLevelType w:val="hybridMultilevel"/>
    <w:tmpl w:val="A7469BA8"/>
    <w:lvl w:ilvl="0" w:tplc="AE687A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53"/>
    <w:rsid w:val="00027057"/>
    <w:rsid w:val="00032935"/>
    <w:rsid w:val="000A62FA"/>
    <w:rsid w:val="00172D64"/>
    <w:rsid w:val="00402E4A"/>
    <w:rsid w:val="004D23CA"/>
    <w:rsid w:val="004D76BA"/>
    <w:rsid w:val="00514500"/>
    <w:rsid w:val="00521DB1"/>
    <w:rsid w:val="00564AA1"/>
    <w:rsid w:val="005E2790"/>
    <w:rsid w:val="00627FBB"/>
    <w:rsid w:val="0064435F"/>
    <w:rsid w:val="007054E6"/>
    <w:rsid w:val="008749A0"/>
    <w:rsid w:val="00890AA3"/>
    <w:rsid w:val="008D354D"/>
    <w:rsid w:val="00A130FF"/>
    <w:rsid w:val="00A27622"/>
    <w:rsid w:val="00A76D96"/>
    <w:rsid w:val="00B55CDA"/>
    <w:rsid w:val="00BD484C"/>
    <w:rsid w:val="00C36302"/>
    <w:rsid w:val="00C92875"/>
    <w:rsid w:val="00DA1215"/>
    <w:rsid w:val="00E73853"/>
    <w:rsid w:val="00EC5B20"/>
    <w:rsid w:val="00FA3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4598"/>
  <w14:defaultImageDpi w14:val="32767"/>
  <w15:chartTrackingRefBased/>
  <w15:docId w15:val="{D0FE87C7-00D9-A84A-87FB-3FDD2880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3339</Words>
  <Characters>19033</Characters>
  <Application>Microsoft Office Word</Application>
  <DocSecurity>0</DocSecurity>
  <Lines>158</Lines>
  <Paragraphs>44</Paragraphs>
  <ScaleCrop>false</ScaleCrop>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22</cp:revision>
  <dcterms:created xsi:type="dcterms:W3CDTF">2019-10-09T13:39:00Z</dcterms:created>
  <dcterms:modified xsi:type="dcterms:W3CDTF">2019-10-09T16:31:00Z</dcterms:modified>
</cp:coreProperties>
</file>