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E4614" w14:textId="15BA4AC5" w:rsidR="002D3644" w:rsidRPr="00937FCD" w:rsidRDefault="00937FC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37FCD">
        <w:rPr>
          <w:rFonts w:asciiTheme="majorHAnsi" w:hAnsiTheme="majorHAnsi" w:cstheme="majorHAnsi"/>
          <w:b/>
          <w:bCs/>
          <w:sz w:val="28"/>
          <w:szCs w:val="28"/>
        </w:rPr>
        <w:t>Accounting for the non-CO</w:t>
      </w:r>
      <w:r w:rsidRPr="00937FCD">
        <w:rPr>
          <w:rFonts w:asciiTheme="majorHAnsi" w:hAnsiTheme="majorHAnsi" w:cstheme="majorHAnsi"/>
          <w:b/>
          <w:bCs/>
          <w:sz w:val="28"/>
          <w:szCs w:val="28"/>
          <w:vertAlign w:val="subscript"/>
        </w:rPr>
        <w:t>2</w:t>
      </w:r>
      <w:r w:rsidRPr="00937FCD">
        <w:rPr>
          <w:rFonts w:asciiTheme="majorHAnsi" w:hAnsiTheme="majorHAnsi" w:cstheme="majorHAnsi"/>
          <w:b/>
          <w:bCs/>
          <w:sz w:val="28"/>
          <w:szCs w:val="28"/>
        </w:rPr>
        <w:t xml:space="preserve"> contributions to remaining carbon budgets – Supplementary Information</w:t>
      </w:r>
    </w:p>
    <w:p w14:paraId="789DC53C" w14:textId="261A953B" w:rsidR="00937FCD" w:rsidRPr="00937FCD" w:rsidRDefault="00937FCD">
      <w:pPr>
        <w:rPr>
          <w:sz w:val="22"/>
          <w:szCs w:val="22"/>
        </w:rPr>
      </w:pPr>
      <w:r w:rsidRPr="00937FCD">
        <w:rPr>
          <w:sz w:val="22"/>
          <w:szCs w:val="22"/>
        </w:rPr>
        <w:t>Stuart Jenkins, Michelle Cain, Myles R. Allen</w:t>
      </w:r>
    </w:p>
    <w:p w14:paraId="64DBBCD7" w14:textId="5CE87E16" w:rsidR="00937FCD" w:rsidRDefault="00937FCD"/>
    <w:p w14:paraId="536ABADC" w14:textId="77777777" w:rsidR="00937FCD" w:rsidRDefault="00937FCD" w:rsidP="00937FCD">
      <w:pPr>
        <w:rPr>
          <w:b/>
          <w:bCs/>
        </w:rPr>
      </w:pPr>
    </w:p>
    <w:p w14:paraId="5E3A071B" w14:textId="62D9AA64" w:rsidR="00937FCD" w:rsidRPr="00937FCD" w:rsidRDefault="00937FCD" w:rsidP="00937FCD">
      <w:pPr>
        <w:rPr>
          <w:b/>
          <w:bCs/>
        </w:rPr>
      </w:pPr>
      <w:r w:rsidRPr="00937FCD">
        <w:rPr>
          <w:b/>
          <w:bCs/>
        </w:rPr>
        <w:t>IIASA IAMC database of SR15 scenarios</w:t>
      </w:r>
    </w:p>
    <w:p w14:paraId="37854694" w14:textId="3B73903C" w:rsidR="00937FCD" w:rsidRDefault="00937FCD" w:rsidP="00937FCD">
      <w:pPr>
        <w:rPr>
          <w:b/>
          <w:bCs/>
        </w:rPr>
      </w:pPr>
    </w:p>
    <w:p w14:paraId="5B7118A6" w14:textId="190D1546" w:rsidR="00937FCD" w:rsidRDefault="00937FCD" w:rsidP="00937FCD">
      <w:r>
        <w:t xml:space="preserve">The IIASA IAMC database of </w:t>
      </w:r>
      <w:proofErr w:type="gramStart"/>
      <w:r>
        <w:t>scenarios[</w:t>
      </w:r>
      <w:proofErr w:type="gramEnd"/>
      <w:r>
        <w:t>1] is the source material used in the production of figure 1. Scenarios are coloured by category, according to their label in the database, and annual CO</w:t>
      </w:r>
      <w:r w:rsidRPr="00937FCD">
        <w:rPr>
          <w:vertAlign w:val="subscript"/>
        </w:rPr>
        <w:t>2</w:t>
      </w:r>
      <w:r>
        <w:t xml:space="preserve"> emissions (panel a) along with non-CO</w:t>
      </w:r>
      <w:r w:rsidRPr="00937FCD">
        <w:rPr>
          <w:vertAlign w:val="subscript"/>
        </w:rPr>
        <w:t>2</w:t>
      </w:r>
      <w:r>
        <w:t xml:space="preserve"> RF (panel c, right hand axis) </w:t>
      </w:r>
      <w:proofErr w:type="gramStart"/>
      <w:r>
        <w:t>are shown</w:t>
      </w:r>
      <w:proofErr w:type="gramEnd"/>
      <w:r>
        <w:t xml:space="preserve"> for each model where both variables are reported. </w:t>
      </w:r>
    </w:p>
    <w:p w14:paraId="6AE95E29" w14:textId="15CE3DB0" w:rsidR="00937FCD" w:rsidRDefault="00937FCD" w:rsidP="00937FCD"/>
    <w:p w14:paraId="242146E8" w14:textId="163ECAF6" w:rsidR="00937FCD" w:rsidRDefault="00937FCD" w:rsidP="00937FCD"/>
    <w:p w14:paraId="01FD0820" w14:textId="632D7569" w:rsidR="00DD4FC7" w:rsidRDefault="00DD4FC7" w:rsidP="00937FCD"/>
    <w:p w14:paraId="61FE296B" w14:textId="6E87CA68" w:rsidR="00DD4FC7" w:rsidRDefault="00DD4FC7" w:rsidP="00937FCD"/>
    <w:p w14:paraId="6A6CDE22" w14:textId="6D929CFC" w:rsidR="00DD4FC7" w:rsidRDefault="00DD4FC7" w:rsidP="00937FCD"/>
    <w:p w14:paraId="2C9D5933" w14:textId="2B73B180" w:rsidR="00DD4FC7" w:rsidRDefault="00DD4FC7" w:rsidP="00937FCD"/>
    <w:p w14:paraId="106D4947" w14:textId="4BA0F119" w:rsidR="00DD4FC7" w:rsidRDefault="00DD4FC7" w:rsidP="00937FCD"/>
    <w:p w14:paraId="24ED0770" w14:textId="77777777" w:rsidR="00DD4FC7" w:rsidRPr="0045212B" w:rsidRDefault="00DD4FC7" w:rsidP="00DD4FC7">
      <w:pPr>
        <w:jc w:val="both"/>
        <w:rPr>
          <w:rFonts w:cstheme="minorHAnsi"/>
        </w:rPr>
      </w:pPr>
      <w:r w:rsidRPr="0045212B">
        <w:rPr>
          <w:rFonts w:cstheme="minorHAnsi"/>
        </w:rPr>
        <w:t>-------------- BOX for Simple Formula --------------</w:t>
      </w:r>
    </w:p>
    <w:p w14:paraId="34432B94" w14:textId="77777777" w:rsidR="00DD4FC7" w:rsidRPr="0045212B" w:rsidRDefault="00DD4FC7" w:rsidP="00DD4FC7">
      <w:pPr>
        <w:jc w:val="both"/>
        <w:rPr>
          <w:rFonts w:cstheme="minorHAnsi"/>
        </w:rPr>
      </w:pPr>
    </w:p>
    <w:p w14:paraId="0FEBA915" w14:textId="77777777" w:rsidR="00DD4FC7" w:rsidRPr="0045212B" w:rsidRDefault="00DD4FC7" w:rsidP="00DD4FC7">
      <w:pPr>
        <w:jc w:val="both"/>
        <w:rPr>
          <w:rFonts w:cstheme="minorHAnsi"/>
          <w:b/>
          <w:bCs/>
        </w:rPr>
      </w:pPr>
      <w:r w:rsidRPr="0045212B">
        <w:rPr>
          <w:rFonts w:cstheme="minorHAnsi"/>
          <w:b/>
          <w:bCs/>
        </w:rPr>
        <w:t>A simple formula for accounting for the non-CO</w:t>
      </w:r>
      <w:r w:rsidRPr="0045212B">
        <w:rPr>
          <w:rFonts w:cstheme="minorHAnsi"/>
          <w:b/>
          <w:bCs/>
          <w:vertAlign w:val="subscript"/>
        </w:rPr>
        <w:t>2</w:t>
      </w:r>
      <w:r w:rsidRPr="0045212B">
        <w:rPr>
          <w:rFonts w:cstheme="minorHAnsi"/>
          <w:b/>
          <w:bCs/>
        </w:rPr>
        <w:t xml:space="preserve"> contribution to remaining </w:t>
      </w:r>
      <w:r>
        <w:rPr>
          <w:rFonts w:cstheme="minorHAnsi"/>
          <w:b/>
          <w:bCs/>
        </w:rPr>
        <w:t>carbon</w:t>
      </w:r>
      <w:r w:rsidRPr="0045212B">
        <w:rPr>
          <w:rFonts w:cstheme="minorHAnsi"/>
          <w:b/>
          <w:bCs/>
        </w:rPr>
        <w:t xml:space="preserve"> budgets</w:t>
      </w:r>
    </w:p>
    <w:p w14:paraId="5EC235B6" w14:textId="77777777" w:rsidR="00DD4FC7" w:rsidRPr="0045212B" w:rsidRDefault="00DD4FC7" w:rsidP="00DD4FC7">
      <w:pPr>
        <w:jc w:val="both"/>
        <w:rPr>
          <w:rFonts w:cstheme="minorHAnsi"/>
        </w:rPr>
      </w:pPr>
    </w:p>
    <w:p w14:paraId="5B9371F7" w14:textId="77777777" w:rsidR="00DD4FC7" w:rsidRPr="0045212B" w:rsidRDefault="00DD4FC7" w:rsidP="00DD4FC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Pr="0045212B">
        <w:rPr>
          <w:rFonts w:cstheme="minorHAnsi"/>
          <w:color w:val="000000"/>
        </w:rPr>
        <w:t>onvert</w:t>
      </w:r>
      <w:r>
        <w:rPr>
          <w:rFonts w:cstheme="minorHAnsi"/>
          <w:color w:val="000000"/>
        </w:rPr>
        <w:t>ing</w:t>
      </w:r>
      <w:r w:rsidRPr="0045212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all climate forcing agents</w:t>
      </w:r>
      <w:r w:rsidRPr="0045212B">
        <w:rPr>
          <w:rFonts w:cstheme="minorHAnsi"/>
          <w:color w:val="000000"/>
        </w:rPr>
        <w:t xml:space="preserve"> to CO</w:t>
      </w:r>
      <w:r w:rsidRPr="0045212B">
        <w:rPr>
          <w:rFonts w:cstheme="minorHAnsi"/>
          <w:color w:val="000000"/>
          <w:vertAlign w:val="subscript"/>
        </w:rPr>
        <w:t>2</w:t>
      </w:r>
      <w:r w:rsidRPr="0045212B">
        <w:rPr>
          <w:rFonts w:cstheme="minorHAnsi"/>
          <w:color w:val="000000"/>
        </w:rPr>
        <w:t>-forcing-equivalent (CO</w:t>
      </w:r>
      <w:r w:rsidRPr="0045212B">
        <w:rPr>
          <w:rFonts w:cstheme="minorHAnsi"/>
          <w:color w:val="000000"/>
          <w:vertAlign w:val="subscript"/>
        </w:rPr>
        <w:t>2</w:t>
      </w:r>
      <w:r w:rsidRPr="0045212B">
        <w:rPr>
          <w:rFonts w:cstheme="minorHAnsi"/>
          <w:color w:val="000000"/>
        </w:rPr>
        <w:t xml:space="preserve">-fe) emissions provides the most accurate </w:t>
      </w:r>
      <w:r>
        <w:rPr>
          <w:rFonts w:cstheme="minorHAnsi"/>
          <w:color w:val="000000"/>
        </w:rPr>
        <w:t xml:space="preserve">and physically justified </w:t>
      </w:r>
      <w:r w:rsidRPr="0045212B">
        <w:rPr>
          <w:rFonts w:cstheme="minorHAnsi"/>
          <w:color w:val="000000"/>
        </w:rPr>
        <w:t>definition of an ‘all-pollutants CO</w:t>
      </w:r>
      <w:r w:rsidRPr="0045212B">
        <w:rPr>
          <w:rFonts w:cstheme="minorHAnsi"/>
          <w:color w:val="000000"/>
          <w:vertAlign w:val="subscript"/>
        </w:rPr>
        <w:t>2</w:t>
      </w:r>
      <w:r w:rsidRPr="0045212B">
        <w:rPr>
          <w:rFonts w:cstheme="minorHAnsi"/>
          <w:color w:val="000000"/>
        </w:rPr>
        <w:t xml:space="preserve"> budget’ </w:t>
      </w:r>
      <w:r>
        <w:rPr>
          <w:rFonts w:cstheme="minorHAnsi"/>
          <w:color w:val="000000"/>
        </w:rPr>
        <w:t>but</w:t>
      </w:r>
      <w:r w:rsidRPr="0045212B">
        <w:rPr>
          <w:rFonts w:cstheme="minorHAnsi"/>
          <w:color w:val="000000"/>
        </w:rPr>
        <w:t xml:space="preserve"> requires </w:t>
      </w:r>
      <w:r>
        <w:rPr>
          <w:rFonts w:cstheme="minorHAnsi"/>
          <w:color w:val="000000"/>
        </w:rPr>
        <w:t xml:space="preserve">full forcing histories and </w:t>
      </w:r>
      <w:r w:rsidRPr="0045212B">
        <w:rPr>
          <w:rFonts w:cstheme="minorHAnsi"/>
          <w:color w:val="000000"/>
        </w:rPr>
        <w:t>an invertible carbon cycle model</w:t>
      </w:r>
      <w:r>
        <w:rPr>
          <w:rFonts w:cstheme="minorHAnsi"/>
          <w:color w:val="000000"/>
        </w:rPr>
        <w:t>. O</w:t>
      </w:r>
      <w:r w:rsidRPr="0045212B">
        <w:rPr>
          <w:rFonts w:cstheme="minorHAnsi"/>
          <w:color w:val="000000"/>
        </w:rPr>
        <w:t>n decade-to-century timescales</w:t>
      </w:r>
      <w:r>
        <w:rPr>
          <w:rFonts w:cstheme="minorHAnsi"/>
          <w:color w:val="000000"/>
        </w:rPr>
        <w:t>, however,</w:t>
      </w:r>
      <w:r w:rsidRPr="0045212B">
        <w:rPr>
          <w:rFonts w:cstheme="minorHAnsi"/>
          <w:color w:val="000000"/>
        </w:rPr>
        <w:t xml:space="preserve"> CO</w:t>
      </w:r>
      <w:r w:rsidRPr="0045212B">
        <w:rPr>
          <w:rFonts w:cstheme="minorHAnsi"/>
          <w:color w:val="000000"/>
          <w:vertAlign w:val="subscript"/>
        </w:rPr>
        <w:t>2</w:t>
      </w:r>
      <w:r w:rsidRPr="0045212B">
        <w:rPr>
          <w:rFonts w:cstheme="minorHAnsi"/>
          <w:color w:val="000000"/>
        </w:rPr>
        <w:t xml:space="preserve">-fe emissions </w:t>
      </w:r>
      <w:r>
        <w:rPr>
          <w:rFonts w:cstheme="minorHAnsi"/>
          <w:color w:val="000000"/>
        </w:rPr>
        <w:t>associated with any individual</w:t>
      </w:r>
      <w:r w:rsidRPr="00193CB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forcing agent </w:t>
      </w:r>
      <w:r w:rsidRPr="0045212B">
        <w:rPr>
          <w:rFonts w:cstheme="minorHAnsi"/>
          <w:color w:val="000000"/>
        </w:rPr>
        <w:t xml:space="preserve">may </w:t>
      </w:r>
      <w:proofErr w:type="gramStart"/>
      <w:r w:rsidRPr="0045212B">
        <w:rPr>
          <w:rFonts w:cstheme="minorHAnsi"/>
          <w:color w:val="000000"/>
        </w:rPr>
        <w:t>be approximated</w:t>
      </w:r>
      <w:proofErr w:type="gramEnd"/>
      <w:r w:rsidRPr="0045212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by “warming equivalent” emissions, </w:t>
      </w:r>
      <w:r w:rsidRPr="000F54A8">
        <w:rPr>
          <w:rFonts w:cstheme="minorHAnsi"/>
          <w:color w:val="000000"/>
        </w:rPr>
        <w:t>CO</w:t>
      </w:r>
      <w:r w:rsidRPr="000F54A8">
        <w:rPr>
          <w:rFonts w:cstheme="minorHAnsi"/>
          <w:color w:val="000000"/>
          <w:vertAlign w:val="subscript"/>
        </w:rPr>
        <w:t>2</w:t>
      </w:r>
      <w:r w:rsidRPr="000F54A8">
        <w:rPr>
          <w:rFonts w:cstheme="minorHAnsi"/>
          <w:color w:val="000000"/>
        </w:rPr>
        <w:t>-</w:t>
      </w:r>
      <w:r>
        <w:rPr>
          <w:rFonts w:cstheme="minorHAnsi"/>
          <w:color w:val="000000"/>
        </w:rPr>
        <w:t xml:space="preserve">we, or a simple linear combination of the current emission level and how this has changed over a recent time-interval, </w:t>
      </w:r>
      <m:oMath>
        <m:r>
          <w:rPr>
            <w:rFonts w:ascii="Cambria Math" w:hAnsi="Cambria Math"/>
            <w:color w:val="231F20"/>
          </w:rPr>
          <m:t>∆t</m:t>
        </m:r>
      </m:oMath>
      <w:r w:rsidRPr="0045212B">
        <w:rPr>
          <w:rFonts w:cstheme="minorHAnsi"/>
          <w:color w:val="000000"/>
        </w:rPr>
        <w:t>. If non-CO</w:t>
      </w:r>
      <w:r w:rsidRPr="0045212B">
        <w:rPr>
          <w:rFonts w:cstheme="minorHAnsi"/>
          <w:color w:val="000000"/>
          <w:vertAlign w:val="subscript"/>
        </w:rPr>
        <w:t>2</w:t>
      </w:r>
      <w:r w:rsidRPr="0045212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climate</w:t>
      </w:r>
      <w:r w:rsidRPr="0045212B">
        <w:rPr>
          <w:rFonts w:cstheme="minorHAnsi"/>
          <w:color w:val="000000"/>
        </w:rPr>
        <w:t xml:space="preserve"> forc</w:t>
      </w:r>
      <w:r>
        <w:rPr>
          <w:rFonts w:cstheme="minorHAnsi"/>
          <w:color w:val="000000"/>
        </w:rPr>
        <w:t>ers</w:t>
      </w:r>
      <w:r w:rsidRPr="0045212B">
        <w:rPr>
          <w:rFonts w:cstheme="minorHAnsi"/>
          <w:color w:val="000000"/>
        </w:rPr>
        <w:t xml:space="preserve"> are expressed as CO</w:t>
      </w:r>
      <w:r w:rsidRPr="0045212B">
        <w:rPr>
          <w:rFonts w:cstheme="minorHAnsi"/>
          <w:color w:val="000000"/>
          <w:vertAlign w:val="subscript"/>
        </w:rPr>
        <w:t>2</w:t>
      </w:r>
      <w:r w:rsidRPr="0045212B">
        <w:rPr>
          <w:rFonts w:cstheme="minorHAnsi"/>
          <w:color w:val="000000"/>
        </w:rPr>
        <w:t xml:space="preserve">-equivalent </w:t>
      </w:r>
      <w:r>
        <w:rPr>
          <w:rFonts w:cstheme="minorHAnsi"/>
          <w:color w:val="000000"/>
        </w:rPr>
        <w:t>(CO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 xml:space="preserve">-e) </w:t>
      </w:r>
      <w:r w:rsidRPr="0045212B">
        <w:rPr>
          <w:rFonts w:cstheme="minorHAnsi"/>
          <w:color w:val="000000"/>
        </w:rPr>
        <w:t xml:space="preserve">emissions </w:t>
      </w:r>
      <m:oMath>
        <m:r>
          <w:rPr>
            <w:rFonts w:ascii="Cambria Math" w:hAnsi="Cambria Math"/>
            <w:color w:val="231F20"/>
          </w:rPr>
          <m:t>E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t</m:t>
            </m:r>
          </m:e>
        </m:d>
      </m:oMath>
      <w:r w:rsidRPr="00B8223A">
        <w:rPr>
          <w:rFonts w:cstheme="minorHAnsi"/>
          <w:color w:val="231F20"/>
        </w:rPr>
        <w:t xml:space="preserve"> </w:t>
      </w:r>
      <w:r w:rsidRPr="0045212B">
        <w:rPr>
          <w:rFonts w:cstheme="minorHAnsi"/>
          <w:color w:val="000000"/>
        </w:rPr>
        <w:t>by multiplying emissions by the</w:t>
      </w:r>
      <w:r>
        <w:rPr>
          <w:rFonts w:cstheme="minorHAnsi"/>
          <w:color w:val="000000"/>
        </w:rPr>
        <w:t>ir</w:t>
      </w:r>
      <w:r w:rsidRPr="0045212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Global Warming Potential, </w:t>
      </w:r>
      <w:r w:rsidRPr="0045212B">
        <w:rPr>
          <w:rFonts w:cstheme="minorHAnsi"/>
          <w:color w:val="000000"/>
        </w:rPr>
        <w:t xml:space="preserve">GWP </w:t>
      </w:r>
      <w:r>
        <w:rPr>
          <w:rFonts w:cstheme="minorHAnsi"/>
          <w:color w:val="000000"/>
        </w:rPr>
        <w:t>(or equivalently, for components such as aerosols,</w:t>
      </w:r>
      <w:r w:rsidRPr="0045212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by dividing their contribution to </w:t>
      </w:r>
      <w:r w:rsidRPr="0045212B">
        <w:rPr>
          <w:rFonts w:cstheme="minorHAnsi"/>
          <w:color w:val="000000"/>
        </w:rPr>
        <w:t>effective radiative forcing by the Absolute Global Warming Potential (AGWP) of CO</w:t>
      </w:r>
      <w:r w:rsidRPr="0045212B"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>)</w:t>
      </w:r>
      <w:r w:rsidRPr="0045212B">
        <w:rPr>
          <w:rFonts w:cstheme="minorHAnsi"/>
          <w:color w:val="000000"/>
        </w:rPr>
        <w:t xml:space="preserve"> then </w:t>
      </w:r>
    </w:p>
    <w:p w14:paraId="4287EB52" w14:textId="77777777" w:rsidR="00DD4FC7" w:rsidRPr="0045212B" w:rsidRDefault="00DD4FC7" w:rsidP="00DD4FC7">
      <w:pPr>
        <w:rPr>
          <w:rFonts w:cstheme="minorHAnsi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  <w:color w:val="231F20"/>
              </w:rPr>
              <m:t>CO2-fe</m:t>
            </m:r>
          </m:sub>
        </m:sSub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t</m:t>
            </m:r>
          </m:e>
        </m:d>
        <m:r>
          <w:rPr>
            <w:rFonts w:ascii="Cambria Math" w:hAnsi="Cambria Math"/>
            <w:color w:val="231F20"/>
          </w:rPr>
          <m:t>≈</m:t>
        </m:r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  <w:color w:val="231F20"/>
              </w:rPr>
              <m:t>CO2-we</m:t>
            </m:r>
          </m:sub>
        </m:sSub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t</m:t>
            </m:r>
          </m:e>
        </m:d>
        <m:r>
          <w:rPr>
            <w:rFonts w:ascii="Cambria Math" w:hAnsi="Cambria Math"/>
            <w:color w:val="231F20"/>
          </w:rPr>
          <m:t>=αE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t</m:t>
            </m:r>
          </m:e>
        </m:d>
        <m:r>
          <w:rPr>
            <w:rFonts w:ascii="Cambria Math" w:hAnsi="Cambria Math"/>
            <w:color w:val="231F20"/>
          </w:rPr>
          <m:t>+</m:t>
        </m:r>
        <m:f>
          <m:fPr>
            <m:ctrlPr>
              <w:rPr>
                <w:rFonts w:ascii="Cambria Math" w:hAnsi="Cambria Math"/>
                <w:i/>
                <w:color w:val="231F20"/>
              </w:rPr>
            </m:ctrlPr>
          </m:fPr>
          <m:num>
            <m:r>
              <w:rPr>
                <w:rFonts w:ascii="Cambria Math" w:hAnsi="Cambria Math"/>
                <w:color w:val="231F20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dPr>
              <m:e>
                <m:r>
                  <w:rPr>
                    <w:rFonts w:ascii="Cambria Math" w:hAnsi="Cambria Math"/>
                    <w:color w:val="231F20"/>
                  </w:rPr>
                  <m:t>1-α</m:t>
                </m:r>
              </m:e>
            </m:d>
          </m:num>
          <m:den>
            <m:r>
              <w:rPr>
                <w:rFonts w:ascii="Cambria Math" w:hAnsi="Cambria Math"/>
                <w:color w:val="231F20"/>
              </w:rPr>
              <m:t>∆t</m:t>
            </m:r>
          </m:den>
        </m:f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dPr>
              <m:e>
                <m:r>
                  <w:rPr>
                    <w:rFonts w:ascii="Cambria Math" w:hAnsi="Cambria Math"/>
                    <w:color w:val="231F20"/>
                  </w:rPr>
                  <m:t>t</m:t>
                </m:r>
              </m:e>
            </m:d>
            <m:r>
              <w:rPr>
                <w:rFonts w:ascii="Cambria Math" w:hAnsi="Cambria Math"/>
                <w:color w:val="231F20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dPr>
              <m:e>
                <m:r>
                  <w:rPr>
                    <w:rFonts w:ascii="Cambria Math" w:hAnsi="Cambria Math"/>
                    <w:color w:val="231F20"/>
                  </w:rPr>
                  <m:t>t-∆t</m:t>
                </m:r>
              </m:e>
            </m:d>
          </m:e>
        </m:d>
      </m:oMath>
      <w:r>
        <w:rPr>
          <w:rFonts w:cstheme="minorHAnsi"/>
          <w:color w:val="231F20"/>
        </w:rPr>
        <w:tab/>
      </w:r>
      <w:r>
        <w:rPr>
          <w:rFonts w:cstheme="minorHAnsi"/>
          <w:color w:val="231F20"/>
        </w:rPr>
        <w:tab/>
      </w:r>
      <w:r>
        <w:rPr>
          <w:rFonts w:cstheme="minorHAnsi"/>
          <w:color w:val="231F20"/>
        </w:rPr>
        <w:tab/>
      </w:r>
      <w:r>
        <w:rPr>
          <w:rFonts w:cstheme="minorHAnsi"/>
          <w:color w:val="231F20"/>
        </w:rPr>
        <w:tab/>
      </w:r>
      <w:r>
        <w:rPr>
          <w:rFonts w:cstheme="minorHAnsi"/>
          <w:color w:val="231F20"/>
        </w:rPr>
        <w:tab/>
        <w:t>(1)</w:t>
      </w:r>
    </w:p>
    <w:p w14:paraId="735B736A" w14:textId="77777777" w:rsidR="00DD4FC7" w:rsidRDefault="00DD4FC7" w:rsidP="00DD4FC7">
      <w:pPr>
        <w:rPr>
          <w:rFonts w:cstheme="minorHAnsi"/>
          <w:color w:val="231F20"/>
        </w:rPr>
      </w:pPr>
      <w:r w:rsidRPr="0045212B">
        <w:rPr>
          <w:rFonts w:cstheme="minorHAnsi"/>
          <w:color w:val="000000"/>
        </w:rPr>
        <w:t xml:space="preserve">where </w:t>
      </w:r>
      <m:oMath>
        <m:r>
          <w:rPr>
            <w:rFonts w:ascii="Cambria Math" w:hAnsi="Cambria Math"/>
            <w:color w:val="231F20"/>
          </w:rPr>
          <m:t>H</m:t>
        </m:r>
      </m:oMath>
      <w:r w:rsidRPr="0045212B">
        <w:rPr>
          <w:rFonts w:cstheme="minorHAnsi"/>
          <w:color w:val="000000"/>
        </w:rPr>
        <w:t xml:space="preserve"> is the time-horizon used for the GWP and AGWP </w:t>
      </w:r>
      <w:r>
        <w:rPr>
          <w:rFonts w:cstheme="minorHAnsi"/>
          <w:color w:val="000000"/>
        </w:rPr>
        <w:t xml:space="preserve">(conventionally 100 years), </w:t>
      </w:r>
      <m:oMath>
        <m:r>
          <w:rPr>
            <w:rFonts w:ascii="Cambria Math" w:hAnsi="Cambria Math"/>
            <w:color w:val="231F20"/>
          </w:rPr>
          <m:t>α</m:t>
        </m:r>
      </m:oMath>
      <w:r w:rsidRPr="0045212B">
        <w:rPr>
          <w:rFonts w:cstheme="minorHAnsi"/>
          <w:color w:val="000000"/>
        </w:rPr>
        <w:t xml:space="preserve"> depend</w:t>
      </w:r>
      <w:r>
        <w:rPr>
          <w:rFonts w:cstheme="minorHAnsi"/>
          <w:color w:val="000000"/>
        </w:rPr>
        <w:t>s</w:t>
      </w:r>
      <w:r w:rsidRPr="0045212B">
        <w:rPr>
          <w:rFonts w:cstheme="minorHAnsi"/>
          <w:color w:val="000000"/>
        </w:rPr>
        <w:t xml:space="preserve"> on the properties and time-history of th</w:t>
      </w:r>
      <w:r>
        <w:rPr>
          <w:rFonts w:cstheme="minorHAnsi"/>
          <w:color w:val="000000"/>
        </w:rPr>
        <w:t>at</w:t>
      </w:r>
      <w:r w:rsidRPr="0045212B">
        <w:rPr>
          <w:rFonts w:cstheme="minorHAnsi"/>
          <w:color w:val="000000"/>
        </w:rPr>
        <w:t xml:space="preserve"> forcing agent, </w:t>
      </w:r>
      <m:oMath>
        <m:f>
          <m:fPr>
            <m:type m:val="lin"/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α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H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1-α</m:t>
                    </m:r>
                  </m:e>
                </m:d>
              </m:e>
            </m:d>
          </m:den>
        </m:f>
      </m:oMath>
      <w:r w:rsidRPr="0045212B">
        <w:rPr>
          <w:rFonts w:cstheme="minorHAnsi"/>
          <w:color w:val="000000"/>
        </w:rPr>
        <w:t xml:space="preserve"> being the </w:t>
      </w:r>
      <w:r>
        <w:rPr>
          <w:rFonts w:cstheme="minorHAnsi"/>
          <w:color w:val="000000"/>
        </w:rPr>
        <w:t xml:space="preserve">fractional </w:t>
      </w:r>
      <w:r w:rsidRPr="0045212B">
        <w:rPr>
          <w:rFonts w:cstheme="minorHAnsi"/>
          <w:color w:val="000000"/>
        </w:rPr>
        <w:t xml:space="preserve">rate at which </w:t>
      </w:r>
      <m:oMath>
        <m:r>
          <w:rPr>
            <w:rFonts w:ascii="Cambria Math" w:hAnsi="Cambria Math"/>
            <w:color w:val="231F20"/>
          </w:rPr>
          <m:t>E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t</m:t>
            </m:r>
          </m:e>
        </m:d>
      </m:oMath>
      <w:r>
        <w:rPr>
          <w:rFonts w:cstheme="minorHAnsi"/>
          <w:color w:val="231F20"/>
        </w:rPr>
        <w:t xml:space="preserve"> </w:t>
      </w:r>
      <w:r w:rsidRPr="0045212B">
        <w:rPr>
          <w:rFonts w:cstheme="minorHAnsi"/>
          <w:color w:val="000000"/>
        </w:rPr>
        <w:t xml:space="preserve">would need to decline to cause no further warming in the decades following year </w:t>
      </w:r>
      <m:oMath>
        <m:r>
          <w:rPr>
            <w:rFonts w:ascii="Cambria Math" w:hAnsi="Cambria Math"/>
            <w:color w:val="231F20"/>
          </w:rPr>
          <m:t>t</m:t>
        </m:r>
      </m:oMath>
      <w:r>
        <w:rPr>
          <w:rFonts w:cstheme="minorHAnsi"/>
          <w:color w:val="231F20"/>
        </w:rPr>
        <w:t xml:space="preserve">, and </w:t>
      </w:r>
      <m:oMath>
        <m:r>
          <w:rPr>
            <w:rFonts w:ascii="Cambria Math" w:hAnsi="Cambria Math"/>
            <w:color w:val="231F20"/>
          </w:rPr>
          <m:t>∆t</m:t>
        </m:r>
      </m:oMath>
      <w:r>
        <w:rPr>
          <w:rFonts w:cstheme="minorHAnsi"/>
          <w:color w:val="231F20"/>
        </w:rPr>
        <w:t xml:space="preserve"> is approximately double the atmospheric lifetime for a short-lived climate pollutant.</w:t>
      </w:r>
    </w:p>
    <w:p w14:paraId="1667A66B" w14:textId="77777777" w:rsidR="00DD4FC7" w:rsidRDefault="00DD4FC7" w:rsidP="00DD4FC7">
      <w:pPr>
        <w:rPr>
          <w:rFonts w:cstheme="minorHAnsi"/>
          <w:color w:val="231F20"/>
        </w:rPr>
      </w:pPr>
    </w:p>
    <w:p w14:paraId="2168028E" w14:textId="77777777" w:rsidR="00DD4FC7" w:rsidRPr="0045212B" w:rsidRDefault="00DD4FC7" w:rsidP="00DD4FC7">
      <w:pPr>
        <w:rPr>
          <w:rFonts w:cstheme="minorHAnsi"/>
          <w:color w:val="000000"/>
        </w:rPr>
      </w:pPr>
      <w:r>
        <w:rPr>
          <w:rFonts w:cstheme="minorHAnsi"/>
          <w:color w:val="231F20"/>
        </w:rPr>
        <w:t xml:space="preserve">For long-lived climate pollutants (LLCPs, with lifetimes longer than </w:t>
      </w:r>
      <m:oMath>
        <m:r>
          <w:rPr>
            <w:rFonts w:ascii="Cambria Math" w:hAnsi="Cambria Math"/>
            <w:color w:val="231F20"/>
          </w:rPr>
          <m:t>H</m:t>
        </m:r>
      </m:oMath>
      <w:r>
        <w:rPr>
          <w:rFonts w:cstheme="minorHAnsi"/>
          <w:color w:val="231F20"/>
        </w:rPr>
        <w:t>) such as CO</w:t>
      </w:r>
      <w:r>
        <w:rPr>
          <w:rFonts w:cstheme="minorHAnsi"/>
          <w:color w:val="231F20"/>
          <w:vertAlign w:val="subscript"/>
        </w:rPr>
        <w:t>2</w:t>
      </w:r>
      <w:r>
        <w:rPr>
          <w:rFonts w:cstheme="minorHAnsi"/>
          <w:color w:val="231F20"/>
        </w:rPr>
        <w:t xml:space="preserve"> and N</w:t>
      </w:r>
      <w:r>
        <w:rPr>
          <w:rFonts w:cstheme="minorHAnsi"/>
          <w:color w:val="231F20"/>
          <w:vertAlign w:val="subscript"/>
        </w:rPr>
        <w:t>2</w:t>
      </w:r>
      <w:r>
        <w:rPr>
          <w:rFonts w:cstheme="minorHAnsi"/>
          <w:color w:val="231F20"/>
        </w:rPr>
        <w:t xml:space="preserve">O, </w:t>
      </w:r>
      <m:oMath>
        <m:r>
          <w:rPr>
            <w:rFonts w:ascii="Cambria Math" w:hAnsi="Cambria Math"/>
            <w:color w:val="231F20"/>
          </w:rPr>
          <m:t>α</m:t>
        </m:r>
        <m:r>
          <w:rPr>
            <w:rFonts w:ascii="Cambria Math" w:hAnsi="Cambria Math" w:cstheme="minorHAnsi"/>
            <w:color w:val="231F20"/>
          </w:rPr>
          <m:t>=1</m:t>
        </m:r>
      </m:oMath>
      <w:r>
        <w:rPr>
          <w:rFonts w:cstheme="minorHAnsi"/>
          <w:color w:val="231F20"/>
        </w:rPr>
        <w:t xml:space="preserve">. For methane, </w:t>
      </w:r>
      <m:oMath>
        <m:r>
          <w:rPr>
            <w:rFonts w:ascii="Cambria Math" w:hAnsi="Cambria Math"/>
            <w:color w:val="231F20"/>
          </w:rPr>
          <m:t>α</m:t>
        </m:r>
        <m:r>
          <w:rPr>
            <w:rFonts w:ascii="Cambria Math" w:hAnsi="Cambria Math" w:cstheme="minorHAnsi"/>
            <w:color w:val="231F20"/>
          </w:rPr>
          <m:t>=0.25</m:t>
        </m:r>
      </m:oMath>
      <w:r>
        <w:rPr>
          <w:rFonts w:cstheme="minorHAnsi"/>
          <w:color w:val="231F20"/>
        </w:rPr>
        <w:t xml:space="preserve"> and</w:t>
      </w:r>
      <m:oMath>
        <m:r>
          <w:rPr>
            <w:rFonts w:ascii="Cambria Math" w:hAnsi="Cambria Math" w:cstheme="minorHAnsi"/>
            <w:color w:val="231F20"/>
          </w:rPr>
          <m:t xml:space="preserve"> </m:t>
        </m:r>
        <m:r>
          <w:rPr>
            <w:rFonts w:ascii="Cambria Math" w:hAnsi="Cambria Math"/>
            <w:color w:val="231F20"/>
          </w:rPr>
          <m:t>∆t=20</m:t>
        </m:r>
      </m:oMath>
      <w:r>
        <w:rPr>
          <w:rFonts w:cstheme="minorHAnsi"/>
          <w:color w:val="231F20"/>
        </w:rPr>
        <w:t xml:space="preserve"> years, reflecting its recent emissions history and lifetime (Cain et al, 2019). For aerosols, the best-fit </w:t>
      </w:r>
      <m:oMath>
        <m:r>
          <w:rPr>
            <w:rFonts w:ascii="Cambria Math" w:hAnsi="Cambria Math"/>
            <w:color w:val="231F20"/>
          </w:rPr>
          <m:t>∆t=1</m:t>
        </m:r>
      </m:oMath>
      <w:r>
        <w:rPr>
          <w:rFonts w:cstheme="minorHAnsi"/>
          <w:color w:val="231F20"/>
        </w:rPr>
        <w:t xml:space="preserve"> year while </w:t>
      </w:r>
      <m:oMath>
        <m:r>
          <w:rPr>
            <w:rFonts w:ascii="Cambria Math" w:hAnsi="Cambria Math"/>
            <w:color w:val="231F20"/>
          </w:rPr>
          <m:t>α</m:t>
        </m:r>
        <m:r>
          <w:rPr>
            <w:rFonts w:ascii="Cambria Math" w:hAnsi="Cambria Math" w:cstheme="minorHAnsi"/>
            <w:color w:val="231F20"/>
          </w:rPr>
          <m:t>=0.1</m:t>
        </m:r>
      </m:oMath>
      <w:r>
        <w:rPr>
          <w:rFonts w:cstheme="minorHAnsi"/>
          <w:color w:val="231F20"/>
        </w:rPr>
        <w:t xml:space="preserve">, reflecting their very short lifetime and the fact that GMST </w:t>
      </w:r>
      <w:proofErr w:type="gramStart"/>
      <w:r>
        <w:rPr>
          <w:rFonts w:cstheme="minorHAnsi"/>
          <w:color w:val="231F20"/>
        </w:rPr>
        <w:t>is already partially equilibrated</w:t>
      </w:r>
      <w:proofErr w:type="gramEnd"/>
      <w:r>
        <w:rPr>
          <w:rFonts w:cstheme="minorHAnsi"/>
          <w:color w:val="231F20"/>
        </w:rPr>
        <w:t xml:space="preserve"> with current net global aerosol forcing.</w:t>
      </w:r>
    </w:p>
    <w:p w14:paraId="2E36D775" w14:textId="77777777" w:rsidR="00DD4FC7" w:rsidRPr="0045212B" w:rsidRDefault="00DD4FC7" w:rsidP="00DD4FC7">
      <w:pPr>
        <w:rPr>
          <w:rFonts w:cstheme="minorHAnsi"/>
          <w:color w:val="000000"/>
        </w:rPr>
      </w:pPr>
    </w:p>
    <w:p w14:paraId="08F45D21" w14:textId="77777777" w:rsidR="00DD4FC7" w:rsidRPr="0045212B" w:rsidRDefault="00DD4FC7" w:rsidP="00DD4FC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Hence </w:t>
      </w:r>
      <w:r w:rsidRPr="0045212B">
        <w:rPr>
          <w:rFonts w:cstheme="minorHAnsi"/>
          <w:color w:val="000000"/>
        </w:rPr>
        <w:t xml:space="preserve">human-induced warming over a multi-decade interval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0</m:t>
            </m:r>
          </m:sub>
        </m:sSub>
      </m:oMath>
      <w:r>
        <w:rPr>
          <w:rFonts w:cstheme="minorHAnsi"/>
          <w:color w:val="231F20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1</m:t>
            </m:r>
          </m:sub>
        </m:sSub>
      </m:oMath>
      <w:r w:rsidRPr="007526D1" w:rsidDel="007526D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may </w:t>
      </w:r>
      <w:proofErr w:type="gramStart"/>
      <w:r>
        <w:rPr>
          <w:rFonts w:cstheme="minorHAnsi"/>
          <w:color w:val="000000"/>
        </w:rPr>
        <w:t>be</w:t>
      </w:r>
      <w:r w:rsidRPr="0045212B">
        <w:rPr>
          <w:rFonts w:cstheme="minorHAnsi"/>
          <w:color w:val="000000"/>
        </w:rPr>
        <w:t xml:space="preserve"> approximated</w:t>
      </w:r>
      <w:proofErr w:type="gramEnd"/>
      <w:r w:rsidRPr="0045212B">
        <w:rPr>
          <w:rFonts w:cstheme="minorHAnsi"/>
          <w:color w:val="000000"/>
        </w:rPr>
        <w:t xml:space="preserve"> by</w:t>
      </w:r>
    </w:p>
    <w:p w14:paraId="21A56241" w14:textId="77777777" w:rsidR="00DD4FC7" w:rsidRPr="0045212B" w:rsidRDefault="00DD4FC7" w:rsidP="00DD4FC7">
      <w:pPr>
        <w:rPr>
          <w:rFonts w:cstheme="minorHAnsi"/>
          <w:color w:val="000000"/>
        </w:rPr>
      </w:pPr>
      <m:oMath>
        <m:r>
          <w:rPr>
            <w:rFonts w:ascii="Cambria Math" w:hAnsi="Cambria Math"/>
            <w:color w:val="231F20"/>
          </w:rPr>
          <m:t>∆T≈</m:t>
        </m:r>
        <m:r>
          <m:rPr>
            <m:nor/>
          </m:rPr>
          <w:rPr>
            <w:rFonts w:ascii="Cambria Math" w:hAnsi="Cambria Math"/>
            <w:color w:val="231F20"/>
          </w:rPr>
          <m:t>TCRE</m:t>
        </m:r>
        <m:r>
          <w:rPr>
            <w:rFonts w:ascii="Cambria Math" w:hAnsi="Cambria Math"/>
            <w:color w:val="231F20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231F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31F20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31F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31F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31F20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31F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31F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31F20"/>
                          </w:rPr>
                          <m:t>1</m:t>
                        </m:r>
                      </m:sub>
                    </m:sSub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231F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31F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31F20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231F20"/>
                              </w:rPr>
                              <m:t>LLCP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31F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31F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231F20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31F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×</m:t>
                            </m:r>
                            <m:r>
                              <w:rPr>
                                <w:rFonts w:ascii="Cambria Math" w:hAnsi="Cambria Math"/>
                                <w:color w:val="231F20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231F20"/>
                              </w:rPr>
                              <m:t>CH4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31F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31F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231F20"/>
                          </w:rPr>
                          <m:t>-3.75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31F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×</m:t>
                            </m:r>
                            <m:r>
                              <w:rPr>
                                <w:rFonts w:ascii="Cambria Math" w:hAnsi="Cambria Math"/>
                                <w:color w:val="231F20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231F20"/>
                              </w:rPr>
                              <m:t>CH4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31F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31F20"/>
                              </w:rPr>
                              <m:t>t-20</m:t>
                            </m:r>
                          </m:e>
                        </m:d>
                      </m:e>
                    </m:d>
                  </m:e>
                </m:nary>
              </m:e>
              <m:e>
                <m:r>
                  <w:rPr>
                    <w:rFonts w:ascii="Cambria Math" w:hAnsi="Cambria Math"/>
                    <w:color w:val="231F20"/>
                  </w:rPr>
                  <m:t>+</m:t>
                </m:r>
                <m:r>
                  <w:rPr>
                    <w:rFonts w:ascii="Cambria Math" w:hAnsi="Cambria Math" w:cstheme="minorHAnsi"/>
                    <w:color w:val="000000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</w:rPr>
                  <m:t>×Δ</m:t>
                </m:r>
                <m:r>
                  <w:rPr>
                    <w:rFonts w:ascii="Cambria Math" w:hAnsi="Cambria Math" w:cstheme="minorHAnsi"/>
                    <w:color w:val="000000"/>
                  </w:rPr>
                  <m:t>F+1.1×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inorHAnsi"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e>
            </m:eqArr>
          </m:e>
        </m:d>
      </m:oMath>
      <w:r>
        <w:rPr>
          <w:rFonts w:cstheme="minorHAnsi"/>
          <w:color w:val="231F20"/>
        </w:rPr>
        <w:tab/>
      </w:r>
      <w:r>
        <w:rPr>
          <w:rFonts w:cstheme="minorHAnsi"/>
          <w:color w:val="231F20"/>
        </w:rPr>
        <w:tab/>
      </w:r>
      <w:r>
        <w:rPr>
          <w:rFonts w:cstheme="minorHAnsi"/>
          <w:color w:val="231F20"/>
        </w:rPr>
        <w:tab/>
      </w:r>
      <w:r>
        <w:rPr>
          <w:rFonts w:cstheme="minorHAnsi"/>
          <w:color w:val="231F20"/>
        </w:rPr>
        <w:tab/>
        <w:t>(2)</w:t>
      </w:r>
    </w:p>
    <w:p w14:paraId="60B711FB" w14:textId="77777777" w:rsidR="00DD4FC7" w:rsidRPr="0045212B" w:rsidRDefault="00DD4FC7" w:rsidP="00DD4FC7">
      <w:pPr>
        <w:jc w:val="both"/>
        <w:rPr>
          <w:rFonts w:cstheme="minorHAnsi"/>
          <w:color w:val="000000"/>
        </w:rPr>
      </w:pPr>
      <w:r w:rsidRPr="0045212B">
        <w:rPr>
          <w:rFonts w:cstheme="minorHAnsi"/>
          <w:color w:val="000000"/>
        </w:rPr>
        <w:t>where the TCRE is the transient climate response to emissions</w:t>
      </w:r>
      <w:r>
        <w:rPr>
          <w:rFonts w:cstheme="minorHAnsi"/>
          <w:color w:val="000000"/>
        </w:rPr>
        <w:t xml:space="preserve"> and the term in curly brackets represents total warming-equivalent emissions over the interval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0</m:t>
            </m:r>
          </m:sub>
        </m:sSub>
      </m:oMath>
      <w:r>
        <w:rPr>
          <w:rFonts w:cstheme="minorHAnsi"/>
          <w:color w:val="231F20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1</m:t>
            </m:r>
          </m:sub>
        </m:sSub>
      </m:oMath>
      <w:r>
        <w:rPr>
          <w:rFonts w:cstheme="minorHAnsi"/>
          <w:color w:val="000000"/>
        </w:rPr>
        <w:t>.</w:t>
      </w:r>
      <w:r w:rsidRPr="0045212B">
        <w:rPr>
          <w:rFonts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  <w:color w:val="231F20"/>
              </w:rPr>
              <m:t>LLCP</m:t>
            </m:r>
          </m:sub>
        </m:sSub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t</m:t>
            </m:r>
          </m:e>
        </m:d>
      </m:oMath>
      <w:r w:rsidRPr="0045212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represents combined</w:t>
      </w:r>
      <w:r w:rsidRPr="0045212B">
        <w:rPr>
          <w:rFonts w:cstheme="minorHAnsi"/>
          <w:color w:val="000000"/>
        </w:rPr>
        <w:t xml:space="preserve"> CO</w:t>
      </w:r>
      <w:r w:rsidRPr="0045212B">
        <w:rPr>
          <w:rFonts w:cstheme="minorHAnsi"/>
          <w:color w:val="000000"/>
          <w:vertAlign w:val="subscript"/>
        </w:rPr>
        <w:t>2</w:t>
      </w:r>
      <w:r w:rsidRPr="0045212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 N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 xml:space="preserve">O </w:t>
      </w:r>
      <w:r w:rsidRPr="0045212B">
        <w:rPr>
          <w:rFonts w:cstheme="minorHAnsi"/>
          <w:color w:val="000000"/>
        </w:rPr>
        <w:t>emissions</w:t>
      </w:r>
      <w:r>
        <w:rPr>
          <w:rFonts w:cstheme="minorHAnsi"/>
          <w:color w:val="000000"/>
        </w:rPr>
        <w:t xml:space="preserve">, while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  <w:color w:val="231F20"/>
              </w:rPr>
              <m:t>CH4</m:t>
            </m:r>
          </m:sub>
        </m:sSub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t</m:t>
            </m:r>
          </m:e>
        </m:d>
      </m:oMath>
      <w:r>
        <w:rPr>
          <w:rFonts w:cstheme="minorHAnsi"/>
          <w:color w:val="231F20"/>
        </w:rPr>
        <w:t xml:space="preserve"> represents methane emissions, all </w:t>
      </w:r>
      <w:r>
        <w:rPr>
          <w:rFonts w:cstheme="minorHAnsi"/>
          <w:color w:val="000000"/>
        </w:rPr>
        <w:t>in units of GtCO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>-e using GWP</w:t>
      </w:r>
      <w:r>
        <w:rPr>
          <w:rFonts w:cstheme="minorHAnsi"/>
          <w:color w:val="000000"/>
          <w:vertAlign w:val="subscript"/>
        </w:rPr>
        <w:t>100</w:t>
      </w:r>
      <w:r>
        <w:rPr>
          <w:rFonts w:cstheme="minorHAnsi"/>
          <w:color w:val="000000"/>
        </w:rPr>
        <w:t xml:space="preserve"> (including the impact of tropospheric ozone changes into the GWP of methane),</w:t>
      </w:r>
      <w:r w:rsidRPr="0045212B">
        <w:rPr>
          <w:rFonts w:cstheme="minorHAnsi"/>
          <w:color w:val="000000"/>
        </w:rPr>
        <w:t> 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</m:acc>
      </m:oMath>
      <w:r w:rsidRPr="0045212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is </w:t>
      </w:r>
      <w:r w:rsidRPr="0045212B">
        <w:rPr>
          <w:rFonts w:cstheme="minorHAnsi"/>
          <w:color w:val="000000"/>
        </w:rPr>
        <w:t xml:space="preserve">the average and 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Δ</m:t>
        </m:r>
        <m:r>
          <w:rPr>
            <w:rFonts w:ascii="Cambria Math" w:hAnsi="Cambria Math" w:cstheme="minorHAnsi"/>
            <w:color w:val="000000"/>
          </w:rPr>
          <m:t>F</m:t>
        </m:r>
      </m:oMath>
      <w:r w:rsidRPr="0045212B">
        <w:rPr>
          <w:rFonts w:cstheme="minorHAnsi"/>
          <w:color w:val="000000"/>
        </w:rPr>
        <w:t xml:space="preserve"> the change in </w:t>
      </w:r>
      <w:r>
        <w:rPr>
          <w:rFonts w:cstheme="minorHAnsi"/>
          <w:color w:val="000000"/>
        </w:rPr>
        <w:t>other</w:t>
      </w:r>
      <w:r w:rsidRPr="0045212B">
        <w:rPr>
          <w:rFonts w:cstheme="minorHAnsi"/>
          <w:color w:val="000000"/>
        </w:rPr>
        <w:t xml:space="preserve"> radiative forcing </w:t>
      </w:r>
      <w:r>
        <w:rPr>
          <w:rFonts w:cstheme="minorHAnsi"/>
          <w:color w:val="000000"/>
        </w:rPr>
        <w:t>(primarily aerosols), in units of W/m</w:t>
      </w:r>
      <w:r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 xml:space="preserve">, all computed </w:t>
      </w:r>
      <w:r w:rsidRPr="0045212B">
        <w:rPr>
          <w:rFonts w:cstheme="minorHAnsi"/>
          <w:color w:val="000000"/>
        </w:rPr>
        <w:t>over th</w:t>
      </w:r>
      <w:r>
        <w:rPr>
          <w:rFonts w:cstheme="minorHAnsi"/>
          <w:color w:val="000000"/>
        </w:rPr>
        <w:t>e</w:t>
      </w:r>
      <w:r w:rsidRPr="0045212B">
        <w:rPr>
          <w:rFonts w:cstheme="minorHAnsi"/>
          <w:color w:val="000000"/>
        </w:rPr>
        <w:t xml:space="preserve"> interval</w:t>
      </w:r>
      <w:r>
        <w:rPr>
          <w:rFonts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0</m:t>
            </m:r>
          </m:sub>
        </m:sSub>
      </m:oMath>
      <w:r>
        <w:rPr>
          <w:rFonts w:cstheme="minorHAnsi"/>
          <w:color w:val="231F20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1</m:t>
            </m:r>
          </m:sub>
        </m:sSub>
      </m:oMath>
      <w:r w:rsidRPr="0045212B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All coefficients here are based on values from the IPCC 5</w:t>
      </w:r>
      <w:r w:rsidRPr="0045212B">
        <w:rPr>
          <w:rFonts w:cstheme="minorHAnsi"/>
          <w:color w:val="000000"/>
          <w:vertAlign w:val="superscript"/>
        </w:rPr>
        <w:t>th</w:t>
      </w:r>
      <w:r>
        <w:rPr>
          <w:rFonts w:cstheme="minorHAnsi"/>
          <w:color w:val="000000"/>
        </w:rPr>
        <w:t xml:space="preserve"> Assessment Report: </w:t>
      </w:r>
      <m:oMath>
        <m:r>
          <w:rPr>
            <w:rFonts w:ascii="Cambria Math" w:hAnsi="Cambria Math" w:cstheme="minorHAnsi"/>
            <w:color w:val="000000"/>
          </w:rPr>
          <m:t>H=100</m:t>
        </m:r>
      </m:oMath>
      <w:r>
        <w:rPr>
          <w:rFonts w:cstheme="minorHAnsi"/>
          <w:color w:val="000000"/>
        </w:rPr>
        <w:t xml:space="preserve"> years;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Cambria Math" w:hAnsi="Cambria Math" w:cstheme="minorHAnsi"/>
                <w:color w:val="000000"/>
              </w:rPr>
              <m:t>AGWP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H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</m:oMath>
      <w:r>
        <w:rPr>
          <w:rFonts w:cstheme="minorHAnsi"/>
          <w:color w:val="000000"/>
        </w:rPr>
        <w:t xml:space="preserve"> 0.092 W-</w:t>
      </w:r>
      <w:proofErr w:type="spellStart"/>
      <w:r>
        <w:rPr>
          <w:rFonts w:cstheme="minorHAnsi"/>
          <w:color w:val="000000"/>
        </w:rPr>
        <w:t>yr</w:t>
      </w:r>
      <w:proofErr w:type="spellEnd"/>
      <w:r>
        <w:rPr>
          <w:rFonts w:cstheme="minorHAnsi"/>
          <w:color w:val="000000"/>
        </w:rPr>
        <w:t>/m</w:t>
      </w:r>
      <w:r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>/GtCO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 xml:space="preserve">; </w:t>
      </w:r>
      <m:oMath>
        <m:r>
          <w:rPr>
            <w:rFonts w:ascii="Cambria Math" w:hAnsi="Cambria Math" w:cstheme="minorHAnsi"/>
            <w:color w:val="000000"/>
          </w:rPr>
          <m:t>H</m:t>
        </m:r>
        <m:f>
          <m:fPr>
            <m:type m:val="lin"/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1-α</m:t>
                </m:r>
              </m:e>
            </m:d>
          </m:num>
          <m:den>
            <m:r>
              <w:rPr>
                <w:rFonts w:ascii="Cambria Math" w:hAnsi="Cambria Math" w:cstheme="minorHAnsi"/>
                <w:color w:val="000000"/>
              </w:rPr>
              <m:t>∆t</m:t>
            </m:r>
          </m:den>
        </m:f>
        <m:r>
          <w:rPr>
            <w:rFonts w:ascii="Cambria Math" w:hAnsi="Cambria Math" w:cstheme="minorHAnsi"/>
            <w:color w:val="000000"/>
          </w:rPr>
          <m:t>=3.75</m:t>
        </m:r>
      </m:oMath>
      <w:r>
        <w:rPr>
          <w:rFonts w:cstheme="minorHAnsi"/>
          <w:color w:val="000000"/>
        </w:rPr>
        <w:t xml:space="preserve"> for </w:t>
      </w:r>
      <m:oMath>
        <m:r>
          <w:rPr>
            <w:rFonts w:ascii="Cambria Math" w:hAnsi="Cambria Math"/>
            <w:color w:val="231F20"/>
          </w:rPr>
          <m:t>α</m:t>
        </m:r>
        <m:r>
          <w:rPr>
            <w:rFonts w:ascii="Cambria Math" w:hAnsi="Cambria Math" w:cstheme="minorHAnsi"/>
            <w:color w:val="231F20"/>
          </w:rPr>
          <m:t>=0.25</m:t>
        </m:r>
      </m:oMath>
      <w:r>
        <w:rPr>
          <w:rFonts w:cstheme="minorHAnsi"/>
          <w:color w:val="000000"/>
        </w:rPr>
        <w:t xml:space="preserve">; </w:t>
      </w:r>
      <m:oMath>
        <m:r>
          <w:rPr>
            <w:rFonts w:ascii="Cambria Math" w:hAnsi="Cambria Math" w:cstheme="minorHAnsi"/>
            <w:color w:val="000000"/>
          </w:rPr>
          <m:t>H</m:t>
        </m:r>
        <m:f>
          <m:fPr>
            <m:type m:val="lin"/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1-α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theme="minorHAnsi"/>
                    <w:color w:val="000000"/>
                  </w:rPr>
                  <m:t>AGWP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H</m:t>
                </m:r>
              </m:sub>
            </m:sSub>
          </m:den>
        </m:f>
        <m:r>
          <w:rPr>
            <w:rFonts w:ascii="Cambria Math" w:hAnsi="Cambria Math" w:cstheme="minorHAnsi"/>
            <w:color w:val="000000"/>
          </w:rPr>
          <m:t>=1000</m:t>
        </m:r>
      </m:oMath>
      <w:r>
        <w:rPr>
          <w:rFonts w:cstheme="minorHAnsi"/>
          <w:color w:val="000000"/>
        </w:rPr>
        <w:t xml:space="preserve"> GtCO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 xml:space="preserve"> per W/m</w:t>
      </w:r>
      <w:r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 xml:space="preserve"> as noted in figure SPM.1 of ref. (SR1.5); and </w:t>
      </w:r>
      <m:oMath>
        <m:f>
          <m:fPr>
            <m:type m:val="lin"/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α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theme="minorHAnsi"/>
                    <w:color w:val="000000"/>
                  </w:rPr>
                  <m:t>AGWP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H</m:t>
                </m:r>
              </m:sub>
            </m:sSub>
          </m:den>
        </m:f>
        <m:r>
          <w:rPr>
            <w:rFonts w:ascii="Cambria Math" w:hAnsi="Cambria Math" w:cstheme="minorHAnsi"/>
            <w:color w:val="000000"/>
          </w:rPr>
          <m:t>=1.1</m:t>
        </m:r>
      </m:oMath>
      <w:r>
        <w:rPr>
          <w:rFonts w:cstheme="minorHAnsi"/>
          <w:color w:val="000000"/>
        </w:rPr>
        <w:t xml:space="preserve"> GtCO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 xml:space="preserve"> per W-</w:t>
      </w:r>
      <w:proofErr w:type="spellStart"/>
      <w:r>
        <w:rPr>
          <w:rFonts w:cstheme="minorHAnsi"/>
          <w:color w:val="000000"/>
        </w:rPr>
        <w:t>yr</w:t>
      </w:r>
      <w:proofErr w:type="spellEnd"/>
      <w:r>
        <w:rPr>
          <w:rFonts w:cstheme="minorHAnsi"/>
          <w:color w:val="000000"/>
        </w:rPr>
        <w:t>/m</w:t>
      </w:r>
      <w:r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 xml:space="preserve"> for </w:t>
      </w:r>
      <m:oMath>
        <m:r>
          <w:rPr>
            <w:rFonts w:ascii="Cambria Math" w:hAnsi="Cambria Math"/>
            <w:color w:val="231F20"/>
          </w:rPr>
          <m:t>α</m:t>
        </m:r>
        <m:r>
          <w:rPr>
            <w:rFonts w:ascii="Cambria Math" w:hAnsi="Cambria Math" w:cstheme="minorHAnsi"/>
            <w:color w:val="231F20"/>
          </w:rPr>
          <m:t>=0.1</m:t>
        </m:r>
      </m:oMath>
      <w:r>
        <w:rPr>
          <w:rFonts w:cstheme="minorHAnsi"/>
          <w:color w:val="231F20"/>
        </w:rPr>
        <w:t xml:space="preserve">. The AR5 likely range for TCRE is </w:t>
      </w:r>
      <w:r>
        <w:rPr>
          <w:rFonts w:cstheme="minorHAnsi"/>
          <w:color w:val="000000"/>
        </w:rPr>
        <w:t>0.45±0.23°C per 1000 GtCO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>, which far outweighs uncertainty in other coefficients.</w:t>
      </w:r>
    </w:p>
    <w:p w14:paraId="6A39B721" w14:textId="77777777" w:rsidR="00DD4FC7" w:rsidRPr="0045212B" w:rsidRDefault="00DD4FC7" w:rsidP="00DD4FC7">
      <w:pPr>
        <w:jc w:val="both"/>
        <w:rPr>
          <w:rFonts w:cstheme="minorHAnsi"/>
          <w:color w:val="000000"/>
        </w:rPr>
      </w:pPr>
    </w:p>
    <w:p w14:paraId="43334AE0" w14:textId="77777777" w:rsidR="00DD4FC7" w:rsidRPr="0045212B" w:rsidRDefault="00DD4FC7" w:rsidP="00DD4FC7">
      <w:pPr>
        <w:rPr>
          <w:rFonts w:cstheme="minorHAnsi"/>
          <w:color w:val="000000"/>
        </w:rPr>
      </w:pPr>
      <w:r w:rsidRPr="0045212B">
        <w:rPr>
          <w:rFonts w:cstheme="minorHAnsi"/>
          <w:color w:val="000000"/>
        </w:rPr>
        <w:t>Figure 3</w:t>
      </w:r>
      <w:r>
        <w:rPr>
          <w:rFonts w:cstheme="minorHAnsi"/>
          <w:color w:val="000000"/>
        </w:rPr>
        <w:t xml:space="preserve"> </w:t>
      </w:r>
      <w:r w:rsidRPr="0045212B">
        <w:rPr>
          <w:rFonts w:cstheme="minorHAnsi"/>
          <w:color w:val="000000"/>
        </w:rPr>
        <w:t xml:space="preserve">shows </w:t>
      </w:r>
      <w:r>
        <w:rPr>
          <w:rFonts w:cstheme="minorHAnsi"/>
          <w:color w:val="000000"/>
        </w:rPr>
        <w:t>contributions to cumulative CO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>-fe emissions relative to 2018 in the median 1.5°C-compatible scenarios (solid lines, left axis), cumulative warming-equivalent emissions (dashed lines) computed using equation 2</w:t>
      </w:r>
      <w:r w:rsidRPr="0045212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applied </w:t>
      </w:r>
      <w:r w:rsidRPr="0045212B">
        <w:rPr>
          <w:rFonts w:cstheme="minorHAnsi"/>
          <w:color w:val="000000"/>
        </w:rPr>
        <w:t xml:space="preserve">to the emissions </w:t>
      </w:r>
      <w:r>
        <w:rPr>
          <w:rFonts w:cstheme="minorHAnsi"/>
          <w:color w:val="000000"/>
        </w:rPr>
        <w:t>of</w:t>
      </w:r>
      <w:r w:rsidRPr="0045212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CO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>, N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>O and CH</w:t>
      </w:r>
      <w:r>
        <w:rPr>
          <w:rFonts w:cstheme="minorHAnsi"/>
          <w:color w:val="000000"/>
          <w:vertAlign w:val="subscript"/>
        </w:rPr>
        <w:t>4</w:t>
      </w:r>
      <w:r w:rsidRPr="0045212B">
        <w:rPr>
          <w:rFonts w:cstheme="minorHAnsi"/>
          <w:color w:val="000000"/>
        </w:rPr>
        <w:t xml:space="preserve"> and radiative forcing </w:t>
      </w:r>
      <w:r>
        <w:rPr>
          <w:rFonts w:cstheme="minorHAnsi"/>
          <w:color w:val="000000"/>
        </w:rPr>
        <w:t>from</w:t>
      </w:r>
      <w:r w:rsidRPr="0045212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aerosols, and contributions to warming (dotted lines, right axis) using the same model as figure 2b</w:t>
      </w:r>
      <w:r w:rsidRPr="0045212B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This single equation is a much better predictor of future warming than CO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 xml:space="preserve"> emissions alone or cumulative CO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>-equivalent emissions, and almost as accurate as CO</w:t>
      </w:r>
      <w:r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>-fe emissions.</w:t>
      </w:r>
    </w:p>
    <w:p w14:paraId="21CC3DB5" w14:textId="77777777" w:rsidR="00DD4FC7" w:rsidRPr="0045212B" w:rsidRDefault="00DD4FC7" w:rsidP="00DD4FC7">
      <w:pPr>
        <w:rPr>
          <w:rFonts w:cstheme="minorHAnsi"/>
          <w:color w:val="000000"/>
        </w:rPr>
      </w:pPr>
    </w:p>
    <w:p w14:paraId="3368036D" w14:textId="17E5BB4B" w:rsidR="00DD4FC7" w:rsidRPr="0045212B" w:rsidRDefault="00DD4FC7" w:rsidP="00DD4FC7">
      <w:pPr>
        <w:rPr>
          <w:rFonts w:cstheme="minorHAnsi"/>
          <w:color w:val="000000"/>
        </w:rPr>
      </w:pPr>
      <w:r w:rsidRPr="0045212B">
        <w:rPr>
          <w:rFonts w:cstheme="minorHAnsi"/>
          <w:color w:val="000000"/>
        </w:rPr>
        <w:t xml:space="preserve">[FIGURE </w:t>
      </w:r>
      <w:r>
        <w:rPr>
          <w:rFonts w:cstheme="minorHAnsi"/>
          <w:color w:val="000000"/>
        </w:rPr>
        <w:t>X</w:t>
      </w:r>
      <w:r w:rsidRPr="0045212B">
        <w:rPr>
          <w:rFonts w:cstheme="minorHAnsi"/>
          <w:color w:val="000000"/>
        </w:rPr>
        <w:t xml:space="preserve"> HERE]</w:t>
      </w:r>
    </w:p>
    <w:p w14:paraId="385828B1" w14:textId="77777777" w:rsidR="00DD4FC7" w:rsidRPr="0045212B" w:rsidRDefault="00DD4FC7" w:rsidP="00DD4FC7">
      <w:pPr>
        <w:rPr>
          <w:rFonts w:cstheme="minorHAnsi"/>
          <w:color w:val="000000"/>
        </w:rPr>
      </w:pPr>
    </w:p>
    <w:p w14:paraId="291DDBB4" w14:textId="77777777" w:rsidR="00DD4FC7" w:rsidRPr="0045212B" w:rsidRDefault="00DD4FC7" w:rsidP="00DD4FC7">
      <w:pPr>
        <w:jc w:val="both"/>
        <w:rPr>
          <w:rFonts w:cstheme="minorHAnsi"/>
        </w:rPr>
      </w:pPr>
      <w:r w:rsidRPr="0045212B">
        <w:rPr>
          <w:rFonts w:cstheme="minorHAnsi"/>
        </w:rPr>
        <w:t>------------------------------------------------------------</w:t>
      </w:r>
    </w:p>
    <w:p w14:paraId="784E30C8" w14:textId="6A8DA8B8" w:rsidR="00DD4FC7" w:rsidRDefault="00DD4FC7" w:rsidP="00937FCD"/>
    <w:p w14:paraId="578E7BCD" w14:textId="103042F7" w:rsidR="006A00C1" w:rsidRDefault="006A00C1" w:rsidP="00937FCD"/>
    <w:p w14:paraId="2685A8E4" w14:textId="70ACFE47" w:rsidR="006A00C1" w:rsidRDefault="006A00C1" w:rsidP="00937FCD"/>
    <w:p w14:paraId="37A3E6A0" w14:textId="41F81925" w:rsidR="006A00C1" w:rsidRDefault="006A00C1" w:rsidP="00937FCD">
      <w:r>
        <w:t>NOTES:</w:t>
      </w:r>
    </w:p>
    <w:p w14:paraId="65E9763B" w14:textId="4869B4D0" w:rsidR="006A00C1" w:rsidRDefault="006A00C1" w:rsidP="00937FCD"/>
    <w:p w14:paraId="1A4A6150" w14:textId="6738903C" w:rsidR="006A00C1" w:rsidRDefault="006A00C1" w:rsidP="00937FCD">
      <w:r>
        <w:t>Ranges of non-CO2 budgets for scenarios (blue and orange): 30 – 585 GtCO2</w:t>
      </w:r>
    </w:p>
    <w:p w14:paraId="0002332E" w14:textId="40D7B54D" w:rsidR="006A00C1" w:rsidRDefault="006A00C1" w:rsidP="00937FCD">
      <w:r>
        <w:t>TCRE range = 0.86-2.49 C/</w:t>
      </w:r>
      <w:proofErr w:type="spellStart"/>
      <w:r>
        <w:t>TtC</w:t>
      </w:r>
      <w:proofErr w:type="spellEnd"/>
      <w:r>
        <w:t xml:space="preserve"> == 0.23-0.68 C/TtCO2. </w:t>
      </w:r>
    </w:p>
    <w:p w14:paraId="2E531E12" w14:textId="7B357754" w:rsidR="006A00C1" w:rsidRDefault="006A00C1" w:rsidP="00937FCD">
      <w:r>
        <w:t>Current globally averaged temperature anomaly = 1.10 C, (5</w:t>
      </w:r>
      <w:r w:rsidRPr="006A00C1">
        <w:rPr>
          <w:vertAlign w:val="superscript"/>
        </w:rPr>
        <w:t>th</w:t>
      </w:r>
      <w:r>
        <w:t>-9</w:t>
      </w:r>
      <w:r w:rsidRPr="006A00C1">
        <w:rPr>
          <w:vertAlign w:val="superscript"/>
        </w:rPr>
        <w:t>th</w:t>
      </w:r>
      <w:r>
        <w:t xml:space="preserve"> percentile = 0.98-1.28 C)</w:t>
      </w:r>
    </w:p>
    <w:p w14:paraId="4D2FC7C1" w14:textId="3D0F02DE" w:rsidR="006A00C1" w:rsidRDefault="006A00C1" w:rsidP="00937FCD"/>
    <w:p w14:paraId="03EDCAA1" w14:textId="7B129384" w:rsidR="006A00C1" w:rsidRDefault="006A00C1" w:rsidP="00937FCD">
      <w:proofErr w:type="gramStart"/>
      <w:r>
        <w:t>Therefore</w:t>
      </w:r>
      <w:proofErr w:type="gramEnd"/>
      <w:r>
        <w:t xml:space="preserve"> remaining budget to 1.5C likely range assuming best estimate warming to date:</w:t>
      </w:r>
    </w:p>
    <w:p w14:paraId="12B222B8" w14:textId="6597D011" w:rsidR="006A00C1" w:rsidRDefault="006A00C1" w:rsidP="00937FCD">
      <w:r>
        <w:t>(1.5 – 1.1) * 1000 / 0.23 = 1740 GtCO2</w:t>
      </w:r>
    </w:p>
    <w:p w14:paraId="0C160694" w14:textId="3480314D" w:rsidR="006A00C1" w:rsidRDefault="006A00C1" w:rsidP="00937FCD">
      <w:r>
        <w:t>(1.5 – 1.1) * 1000 / 0.68 = 590 GtCO2</w:t>
      </w:r>
    </w:p>
    <w:p w14:paraId="34F028B8" w14:textId="7C56FB33" w:rsidR="006A00C1" w:rsidRDefault="006A00C1" w:rsidP="00937FCD"/>
    <w:p w14:paraId="39BAC9E0" w14:textId="49A4948C" w:rsidR="006A00C1" w:rsidRDefault="006A00C1" w:rsidP="00937FCD">
      <w:r>
        <w:t>Best estimate: (1.5 – 1.1) * 1000 / 0.35 = 1140 GtCO2</w:t>
      </w:r>
    </w:p>
    <w:p w14:paraId="49E39DDE" w14:textId="3C2C33C7" w:rsidR="006A00C1" w:rsidRDefault="006A00C1" w:rsidP="00937FCD"/>
    <w:p w14:paraId="06CB22E0" w14:textId="4A355796" w:rsidR="006A00C1" w:rsidRDefault="006A00C1" w:rsidP="00937FCD">
      <w:r>
        <w:t>Assuming median non-CO2 budget (of blue and orange scenarios) = 240 GtCO2 we have remaining carbo</w:t>
      </w:r>
      <w:bookmarkStart w:id="0" w:name="_GoBack"/>
      <w:bookmarkEnd w:id="0"/>
      <w:r>
        <w:t>n budget:</w:t>
      </w:r>
    </w:p>
    <w:p w14:paraId="442D8CA0" w14:textId="7D04A5ED" w:rsidR="006A00C1" w:rsidRDefault="006A00C1" w:rsidP="00937FCD">
      <w:r>
        <w:t>5</w:t>
      </w:r>
      <w:r w:rsidRPr="006A00C1">
        <w:rPr>
          <w:vertAlign w:val="superscript"/>
        </w:rPr>
        <w:t>th</w:t>
      </w:r>
      <w:r>
        <w:t xml:space="preserve"> percentile: (0.4 * 1000 / 0.23) – 240 = 1740 – 240 = 1500 GtCO2</w:t>
      </w:r>
    </w:p>
    <w:p w14:paraId="6132A7E8" w14:textId="34F91F15" w:rsidR="006A00C1" w:rsidRPr="00937FCD" w:rsidRDefault="006A00C1" w:rsidP="006A00C1">
      <w:r>
        <w:t>33</w:t>
      </w:r>
      <w:r w:rsidRPr="006A00C1">
        <w:rPr>
          <w:vertAlign w:val="superscript"/>
        </w:rPr>
        <w:t>rd</w:t>
      </w:r>
      <w:r>
        <w:t xml:space="preserve"> percentile: (0.4 * 1000 / 0.</w:t>
      </w:r>
      <w:r>
        <w:t>31</w:t>
      </w:r>
      <w:r>
        <w:t>) – 240 = 1740 – 240 = 10</w:t>
      </w:r>
      <w:r>
        <w:t>5</w:t>
      </w:r>
      <w:r>
        <w:t>0 GtCO2</w:t>
      </w:r>
    </w:p>
    <w:p w14:paraId="365E781C" w14:textId="6F605209" w:rsidR="006A00C1" w:rsidRDefault="006A00C1" w:rsidP="00937FCD"/>
    <w:p w14:paraId="5D380C8B" w14:textId="72A7AD09" w:rsidR="006A00C1" w:rsidRDefault="006A00C1" w:rsidP="00937FCD">
      <w:r>
        <w:t>5</w:t>
      </w:r>
      <w:r>
        <w:t>0</w:t>
      </w:r>
      <w:r w:rsidRPr="006A00C1">
        <w:rPr>
          <w:vertAlign w:val="superscript"/>
        </w:rPr>
        <w:t>th</w:t>
      </w:r>
      <w:r>
        <w:t xml:space="preserve"> percentile: (0.4 * 1000 / 0.</w:t>
      </w:r>
      <w:r>
        <w:t>35</w:t>
      </w:r>
      <w:r>
        <w:t xml:space="preserve">) – 240 = 1740 – 240 = </w:t>
      </w:r>
      <w:r>
        <w:t>90</w:t>
      </w:r>
      <w:r>
        <w:t>0 GtCO2</w:t>
      </w:r>
    </w:p>
    <w:p w14:paraId="69C600CE" w14:textId="50D289BE" w:rsidR="006A00C1" w:rsidRDefault="006A00C1" w:rsidP="00937FCD">
      <w:r>
        <w:t>66</w:t>
      </w:r>
      <w:r w:rsidRPr="006A00C1">
        <w:rPr>
          <w:vertAlign w:val="superscript"/>
        </w:rPr>
        <w:t>th</w:t>
      </w:r>
      <w:r>
        <w:t xml:space="preserve"> percentile: (0.4 * 1000 / 0.</w:t>
      </w:r>
      <w:r>
        <w:t>40</w:t>
      </w:r>
      <w:r>
        <w:t xml:space="preserve">) – 240 = 1740 – 240 = </w:t>
      </w:r>
      <w:r>
        <w:t>76</w:t>
      </w:r>
      <w:r>
        <w:t>0 GtCO2</w:t>
      </w:r>
    </w:p>
    <w:p w14:paraId="35A78AF6" w14:textId="2719333B" w:rsidR="006A00C1" w:rsidRPr="00937FCD" w:rsidRDefault="006A00C1" w:rsidP="006A00C1">
      <w:r>
        <w:t>9</w:t>
      </w:r>
      <w:r>
        <w:t>5</w:t>
      </w:r>
      <w:r w:rsidRPr="006A00C1">
        <w:rPr>
          <w:vertAlign w:val="superscript"/>
        </w:rPr>
        <w:t>th</w:t>
      </w:r>
      <w:r>
        <w:t xml:space="preserve"> percentile: (0.4 * 1000 / 0.</w:t>
      </w:r>
      <w:r>
        <w:t>68</w:t>
      </w:r>
      <w:r>
        <w:t xml:space="preserve">) – 240 = 1740 – 240 = </w:t>
      </w:r>
      <w:r>
        <w:t>350</w:t>
      </w:r>
      <w:r>
        <w:t xml:space="preserve"> GtCO2</w:t>
      </w:r>
    </w:p>
    <w:p w14:paraId="54DCCCBE" w14:textId="77777777" w:rsidR="006A00C1" w:rsidRPr="00937FCD" w:rsidRDefault="006A00C1" w:rsidP="00937FCD"/>
    <w:sectPr w:rsidR="006A00C1" w:rsidRPr="00937FCD" w:rsidSect="00B55CD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67E87"/>
    <w:multiLevelType w:val="hybridMultilevel"/>
    <w:tmpl w:val="00563938"/>
    <w:lvl w:ilvl="0" w:tplc="37482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B285A"/>
    <w:multiLevelType w:val="hybridMultilevel"/>
    <w:tmpl w:val="16201B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401C"/>
    <w:multiLevelType w:val="hybridMultilevel"/>
    <w:tmpl w:val="9E500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CD"/>
    <w:rsid w:val="00027057"/>
    <w:rsid w:val="00521DB1"/>
    <w:rsid w:val="00564AA1"/>
    <w:rsid w:val="006A00C1"/>
    <w:rsid w:val="007054E6"/>
    <w:rsid w:val="008749A0"/>
    <w:rsid w:val="00937FCD"/>
    <w:rsid w:val="00A130FF"/>
    <w:rsid w:val="00A27622"/>
    <w:rsid w:val="00B55CDA"/>
    <w:rsid w:val="00C92875"/>
    <w:rsid w:val="00D346F7"/>
    <w:rsid w:val="00DD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F40CC"/>
  <w14:defaultImageDpi w14:val="32767"/>
  <w15:chartTrackingRefBased/>
  <w15:docId w15:val="{10881737-B8D6-E246-9062-3E673443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Jenkins</dc:creator>
  <cp:keywords/>
  <dc:description/>
  <cp:lastModifiedBy>Stuart Jenkins</cp:lastModifiedBy>
  <cp:revision>1</cp:revision>
  <dcterms:created xsi:type="dcterms:W3CDTF">2019-12-10T14:33:00Z</dcterms:created>
  <dcterms:modified xsi:type="dcterms:W3CDTF">2019-12-11T16:02:00Z</dcterms:modified>
</cp:coreProperties>
</file>