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h14dzlae1up3" w:id="0"/>
      <w:bookmarkEnd w:id="0"/>
      <w:r w:rsidDel="00000000" w:rsidR="00000000" w:rsidRPr="00000000">
        <w:rPr>
          <w:rtl w:val="0"/>
        </w:rPr>
        <w:t xml:space="preserve">Economic Impact Report: Purchasing Power Erosion for USD-Denominated Personnel in Turkey (2023–2026)</w:t>
      </w:r>
    </w:p>
    <w:p w:rsidR="00000000" w:rsidDel="00000000" w:rsidP="00000000" w:rsidRDefault="00000000" w:rsidRPr="00000000" w14:paraId="00000002">
      <w:pPr>
        <w:pStyle w:val="Heading4"/>
        <w:rPr/>
      </w:pPr>
      <w:bookmarkStart w:colFirst="0" w:colLast="0" w:name="_51jx21msam6h" w:id="1"/>
      <w:bookmarkEnd w:id="1"/>
      <w:r w:rsidDel="00000000" w:rsidR="00000000" w:rsidRPr="00000000">
        <w:rPr>
          <w:rtl w:val="0"/>
        </w:rPr>
        <w:t xml:space="preserve">1. Executive Summary: The Macroeconomic Paradox</w:t>
      </w:r>
    </w:p>
    <w:p w:rsidR="00000000" w:rsidDel="00000000" w:rsidP="00000000" w:rsidRDefault="00000000" w:rsidRPr="00000000" w14:paraId="00000003">
      <w:pPr>
        <w:rPr/>
      </w:pPr>
      <w:r w:rsidDel="00000000" w:rsidR="00000000" w:rsidRPr="00000000">
        <w:rPr>
          <w:rtl w:val="0"/>
        </w:rPr>
        <w:t xml:space="preserve">This report examines the financial period between January 2023 and February 2026, a timeframe defined by a total decoupling of the USD/TRY exchange rate from the local Life Cost Index (LCI). While earning in a global reserve currency was traditionally viewed as an absolute hedge against Turkish inflation, this "currency protection" has been systematically neutralized by aggressive domestic price increases that have outpaced currency depreciation by a factor of nearly three to one.Between January 2023 and February 2026, USD-denominated personnel in Turkey experienced a  </w:t>
      </w:r>
      <w:r w:rsidDel="00000000" w:rsidR="00000000" w:rsidRPr="00000000">
        <w:rPr>
          <w:b w:val="1"/>
          <w:bCs w:val="1"/>
          <w:rtl w:val="0"/>
        </w:rPr>
        <w:t xml:space="preserve">51.6% loss in real purchasing power</w:t>
      </w:r>
      <w:r w:rsidDel="00000000" w:rsidR="00000000" w:rsidRPr="00000000">
        <w:rPr>
          <w:rtl w:val="0"/>
        </w:rPr>
        <w:t xml:space="preserve"> . Due to profound "Local Cost Realization," a fixed USD salary today effectively purchases less than half of the essential goods and services it did three years ago.</w:t>
      </w:r>
    </w:p>
    <w:p w:rsidR="00000000" w:rsidDel="00000000" w:rsidP="00000000" w:rsidRDefault="00000000" w:rsidRPr="00000000" w14:paraId="00000004">
      <w:pPr>
        <w:pStyle w:val="Heading4"/>
        <w:rPr/>
      </w:pPr>
      <w:bookmarkStart w:colFirst="0" w:colLast="0" w:name="_w1fwfvwwtro1" w:id="2"/>
      <w:bookmarkEnd w:id="2"/>
      <w:r w:rsidDel="00000000" w:rsidR="00000000" w:rsidRPr="00000000">
        <w:rPr>
          <w:rtl w:val="0"/>
        </w:rPr>
        <w:t xml:space="preserve">2. Comparative Macroeconomic Analysis (Jan 2023 – Feb 2026)</w:t>
      </w:r>
    </w:p>
    <w:p w:rsidR="00000000" w:rsidDel="00000000" w:rsidP="00000000" w:rsidRDefault="00000000" w:rsidRPr="00000000" w14:paraId="00000005">
      <w:pPr>
        <w:rPr/>
      </w:pPr>
      <w:r w:rsidDel="00000000" w:rsidR="00000000" w:rsidRPr="00000000">
        <w:rPr>
          <w:rtl w:val="0"/>
        </w:rPr>
        <w:t xml:space="preserve">The following table demonstrates the "Exchange Rate vs. Inflation" gap. Although the annual inflation rate has begun to decelerate (dezenflasyon) as of early 2026, the cumulative effect of the price surge has created a massive disparity between the US Dollar’s appreciation and the actual cost of living.| Indicator | Jan 2023 (Base) | Feb 2026 | Cumulative Change (%) || ------ | ------ | ------ | ------ || </w:t>
      </w:r>
      <w:r w:rsidDel="00000000" w:rsidR="00000000" w:rsidRPr="00000000">
        <w:rPr>
          <w:b w:val="1"/>
          <w:bCs w:val="1"/>
          <w:rtl w:val="0"/>
        </w:rPr>
        <w:t xml:space="preserve">USD/TRY Exchange Rate</w:t>
      </w:r>
      <w:r w:rsidDel="00000000" w:rsidR="00000000" w:rsidRPr="00000000">
        <w:rPr>
          <w:rtl w:val="0"/>
        </w:rPr>
        <w:t xml:space="preserve"> | 18.80 | 35.50 | +88.82% || </w:t>
      </w:r>
      <w:r w:rsidDel="00000000" w:rsidR="00000000" w:rsidRPr="00000000">
        <w:rPr>
          <w:b w:val="1"/>
          <w:bCs w:val="1"/>
          <w:rtl w:val="0"/>
        </w:rPr>
        <w:t xml:space="preserve">İTO Cost of Living Index</w:t>
      </w:r>
      <w:r w:rsidDel="00000000" w:rsidR="00000000" w:rsidRPr="00000000">
        <w:rPr>
          <w:rtl w:val="0"/>
        </w:rPr>
        <w:t xml:space="preserve"> | 100.00 | 350.00 | +250.00% || </w:t>
      </w:r>
      <w:r w:rsidDel="00000000" w:rsidR="00000000" w:rsidRPr="00000000">
        <w:rPr>
          <w:b w:val="1"/>
          <w:bCs w:val="1"/>
          <w:rtl w:val="0"/>
        </w:rPr>
        <w:t xml:space="preserve">Consumer Price Index (CPI)</w:t>
      </w:r>
      <w:r w:rsidDel="00000000" w:rsidR="00000000" w:rsidRPr="00000000">
        <w:rPr>
          <w:rtl w:val="0"/>
        </w:rPr>
        <w:t xml:space="preserve"> | 100.00 | 315.00 | +215.00% (Estimated) || </w:t>
      </w:r>
      <w:r w:rsidDel="00000000" w:rsidR="00000000" w:rsidRPr="00000000">
        <w:rPr>
          <w:b w:val="1"/>
          <w:bCs w:val="1"/>
          <w:rtl w:val="0"/>
        </w:rPr>
        <w:t xml:space="preserve">Food Inflation</w:t>
      </w:r>
      <w:r w:rsidDel="00000000" w:rsidR="00000000" w:rsidRPr="00000000">
        <w:rPr>
          <w:rtl w:val="0"/>
        </w:rPr>
        <w:t xml:space="preserve"> | 100.00 | 310.00 | +210.00% (Estimated) |</w:t>
      </w:r>
    </w:p>
    <w:p w:rsidR="00000000" w:rsidDel="00000000" w:rsidP="00000000" w:rsidRDefault="00000000" w:rsidRPr="00000000" w14:paraId="00000006">
      <w:pPr>
        <w:rPr/>
      </w:pPr>
      <w:r w:rsidDel="00000000" w:rsidR="00000000" w:rsidRPr="00000000">
        <w:rPr>
          <w:b w:val="1"/>
          <w:bCs w:val="1"/>
          <w:rtl w:val="0"/>
        </w:rPr>
        <w:t xml:space="preserve">Synthesis:</w:t>
      </w:r>
      <w:r w:rsidDel="00000000" w:rsidR="00000000" w:rsidRPr="00000000">
        <w:rPr>
          <w:rtl w:val="0"/>
        </w:rPr>
        <w:t xml:space="preserve">  While the US Dollar appreciated by approximately 89%, it failed to protect employees because the domestic price level for essentials rose by over 200%. This represents a "Real Exchange Rate Appreciation" of the Lira in terms of cost-push pressure, where the purchasing capacity of the dollar has been hollowed out by domestic price adjustments that ignore currency fluctuations.</w:t>
      </w:r>
    </w:p>
    <w:p w:rsidR="00000000" w:rsidDel="00000000" w:rsidP="00000000" w:rsidRDefault="00000000" w:rsidRPr="00000000" w14:paraId="00000007">
      <w:pPr>
        <w:pStyle w:val="Heading4"/>
        <w:rPr/>
      </w:pPr>
      <w:bookmarkStart w:colFirst="0" w:colLast="0" w:name="_fcl23rm9oaz6" w:id="3"/>
      <w:bookmarkEnd w:id="3"/>
      <w:r w:rsidDel="00000000" w:rsidR="00000000" w:rsidRPr="00000000">
        <w:rPr>
          <w:rtl w:val="0"/>
        </w:rPr>
        <w:t xml:space="preserve">3. Sector-Specific Cost Escalation</w:t>
      </w:r>
    </w:p>
    <w:p w:rsidR="00000000" w:rsidDel="00000000" w:rsidP="00000000" w:rsidRDefault="00000000" w:rsidRPr="00000000" w14:paraId="00000008">
      <w:pPr>
        <w:pStyle w:val="Heading5"/>
        <w:rPr/>
      </w:pPr>
      <w:bookmarkStart w:colFirst="0" w:colLast="0" w:name="_q1a516rp8pa1" w:id="4"/>
      <w:bookmarkEnd w:id="4"/>
      <w:r w:rsidDel="00000000" w:rsidR="00000000" w:rsidRPr="00000000">
        <w:rPr>
          <w:rtl w:val="0"/>
        </w:rPr>
        <w:t xml:space="preserve">3.1 Housing and Real Estate: The Structural Break</w:t>
      </w:r>
    </w:p>
    <w:p w:rsidR="00000000" w:rsidDel="00000000" w:rsidP="00000000" w:rsidRDefault="00000000" w:rsidRPr="00000000" w14:paraId="00000009">
      <w:pPr>
        <w:rPr/>
      </w:pPr>
      <w:r w:rsidDel="00000000" w:rsidR="00000000" w:rsidRPr="00000000">
        <w:rPr>
          <w:rtl w:val="0"/>
        </w:rPr>
        <w:t xml:space="preserve">The rental market has experienced a fundamental structural break. In Istanbul, average rental prices per square meter rose from  </w:t>
      </w:r>
      <w:r w:rsidDel="00000000" w:rsidR="00000000" w:rsidRPr="00000000">
        <w:rPr>
          <w:b w:val="1"/>
          <w:bCs w:val="1"/>
          <w:rtl w:val="0"/>
        </w:rPr>
        <w:t xml:space="preserve">71 TL in Jan 2023 to 367.86 TL in late 2025</w:t>
      </w:r>
      <w:r w:rsidDel="00000000" w:rsidR="00000000" w:rsidRPr="00000000">
        <w:rPr>
          <w:rtl w:val="0"/>
        </w:rPr>
        <w:t xml:space="preserve"> , a staggering  </w:t>
      </w:r>
      <w:r w:rsidDel="00000000" w:rsidR="00000000" w:rsidRPr="00000000">
        <w:rPr>
          <w:b w:val="1"/>
          <w:bCs w:val="1"/>
          <w:rtl w:val="0"/>
        </w:rPr>
        <w:t xml:space="preserve">418.1% increase</w:t>
      </w:r>
      <w:r w:rsidDel="00000000" w:rsidR="00000000" w:rsidRPr="00000000">
        <w:rPr>
          <w:rtl w:val="0"/>
        </w:rPr>
        <w:t xml:space="preserve"> .While the government maintained a 33.98% legal cap on lease renewals as of February 2026, this limit often fails to reflect market reality for new contracts or transitions. Consequently, housing costs that previously accounted for ~20% of a USD-earner's budget have surged to represent  </w:t>
      </w:r>
      <w:r w:rsidDel="00000000" w:rsidR="00000000" w:rsidRPr="00000000">
        <w:rPr>
          <w:b w:val="1"/>
          <w:bCs w:val="1"/>
          <w:rtl w:val="0"/>
        </w:rPr>
        <w:t xml:space="preserve">~50% of total expenditures</w:t>
      </w:r>
      <w:r w:rsidDel="00000000" w:rsidR="00000000" w:rsidRPr="00000000">
        <w:rPr>
          <w:rtl w:val="0"/>
        </w:rPr>
        <w:t xml:space="preserve"> , effectively cannibalizing disposable income.</w:t>
      </w:r>
    </w:p>
    <w:p w:rsidR="00000000" w:rsidDel="00000000" w:rsidP="00000000" w:rsidRDefault="00000000" w:rsidRPr="00000000" w14:paraId="0000000A">
      <w:pPr>
        <w:pStyle w:val="Heading5"/>
        <w:rPr/>
      </w:pPr>
      <w:bookmarkStart w:colFirst="0" w:colLast="0" w:name="_uw3etpyhlbwr" w:id="5"/>
      <w:bookmarkEnd w:id="5"/>
      <w:r w:rsidDel="00000000" w:rsidR="00000000" w:rsidRPr="00000000">
        <w:rPr>
          <w:rtl w:val="0"/>
        </w:rPr>
        <w:t xml:space="preserve">3.2 Urban Mobility and Transport</w:t>
      </w:r>
    </w:p>
    <w:p w:rsidR="00000000" w:rsidDel="00000000" w:rsidP="00000000" w:rsidRDefault="00000000" w:rsidRPr="00000000" w14:paraId="0000000B">
      <w:pPr>
        <w:rPr/>
      </w:pPr>
      <w:r w:rsidDel="00000000" w:rsidR="00000000" w:rsidRPr="00000000">
        <w:rPr>
          <w:rtl w:val="0"/>
        </w:rPr>
        <w:t xml:space="preserve">Public and private transport costs have grown 3.6 times faster than the USD/TRY exchange rate.</w:t>
      </w:r>
    </w:p>
    <w:p w:rsidR="00000000" w:rsidDel="00000000" w:rsidP="00000000" w:rsidRDefault="00000000" w:rsidRPr="00000000" w14:paraId="0000000C">
      <w:pPr>
        <w:numPr>
          <w:ilvl w:val="0"/>
          <w:numId w:val="4"/>
        </w:numPr>
        <w:ind w:left="720" w:hanging="360"/>
        <w:rPr>
          <w:u w:val="none"/>
        </w:rPr>
      </w:pPr>
      <w:r w:rsidDel="00000000" w:rsidR="00000000" w:rsidRPr="00000000">
        <w:rPr>
          <w:b w:val="1"/>
          <w:bCs w:val="1"/>
          <w:rtl w:val="0"/>
        </w:rPr>
        <w:t xml:space="preserve">Electronic Full Ticket:</w:t>
      </w:r>
      <w:r w:rsidDel="00000000" w:rsidR="00000000" w:rsidRPr="00000000">
        <w:rPr>
          <w:rtl w:val="0"/>
        </w:rPr>
        <w:t xml:space="preserve">  Increased from 9.90 TL to 42.00 TL (+324.2%).</w:t>
      </w:r>
    </w:p>
    <w:p w:rsidR="00000000" w:rsidDel="00000000" w:rsidP="00000000" w:rsidRDefault="00000000" w:rsidRPr="00000000" w14:paraId="0000000D">
      <w:pPr>
        <w:numPr>
          <w:ilvl w:val="0"/>
          <w:numId w:val="4"/>
        </w:numPr>
        <w:ind w:left="720" w:hanging="360"/>
        <w:rPr>
          <w:u w:val="none"/>
        </w:rPr>
      </w:pPr>
      <w:r w:rsidDel="00000000" w:rsidR="00000000" w:rsidRPr="00000000">
        <w:rPr>
          <w:b w:val="1"/>
          <w:bCs w:val="1"/>
          <w:rtl w:val="0"/>
        </w:rPr>
        <w:t xml:space="preserve">Monthly Blue Card (Abonman):</w:t>
      </w:r>
      <w:r w:rsidDel="00000000" w:rsidR="00000000" w:rsidRPr="00000000">
        <w:rPr>
          <w:rtl w:val="0"/>
        </w:rPr>
        <w:t xml:space="preserve">  Increased from 777 TL to 3,298 TL (+324.4%).</w:t>
      </w:r>
    </w:p>
    <w:p w:rsidR="00000000" w:rsidDel="00000000" w:rsidP="00000000" w:rsidRDefault="00000000" w:rsidRPr="00000000" w14:paraId="0000000E">
      <w:pPr>
        <w:numPr>
          <w:ilvl w:val="0"/>
          <w:numId w:val="4"/>
        </w:numPr>
        <w:ind w:left="720" w:hanging="360"/>
        <w:rPr>
          <w:u w:val="none"/>
        </w:rPr>
      </w:pPr>
      <w:r w:rsidDel="00000000" w:rsidR="00000000" w:rsidRPr="00000000">
        <w:rPr>
          <w:b w:val="1"/>
          <w:bCs w:val="1"/>
          <w:rtl w:val="0"/>
        </w:rPr>
        <w:t xml:space="preserve">Taxi Start-off Rates:</w:t>
      </w:r>
      <w:r w:rsidDel="00000000" w:rsidR="00000000" w:rsidRPr="00000000">
        <w:rPr>
          <w:rtl w:val="0"/>
        </w:rPr>
        <w:t xml:space="preserve">  Rose from 12.65 TL to 65.40 TL (+417.0%).</w:t>
      </w:r>
    </w:p>
    <w:p w:rsidR="00000000" w:rsidDel="00000000" w:rsidP="00000000" w:rsidRDefault="00000000" w:rsidRPr="00000000" w14:paraId="0000000F">
      <w:pPr>
        <w:pStyle w:val="Heading5"/>
        <w:rPr/>
      </w:pPr>
      <w:bookmarkStart w:colFirst="0" w:colLast="0" w:name="_r2kol0ilr486" w:id="6"/>
      <w:bookmarkEnd w:id="6"/>
      <w:r w:rsidDel="00000000" w:rsidR="00000000" w:rsidRPr="00000000">
        <w:rPr>
          <w:rtl w:val="0"/>
        </w:rPr>
        <w:t xml:space="preserve">3.3 Essential Nutrition (Protein &amp; Carbohydrates)</w:t>
      </w:r>
    </w:p>
    <w:p w:rsidR="00000000" w:rsidDel="00000000" w:rsidP="00000000" w:rsidRDefault="00000000" w:rsidRPr="00000000" w14:paraId="00000010">
      <w:pPr>
        <w:rPr/>
      </w:pPr>
      <w:r w:rsidDel="00000000" w:rsidR="00000000" w:rsidRPr="00000000">
        <w:rPr>
          <w:rtl w:val="0"/>
        </w:rPr>
        <w:t xml:space="preserve">Turkey has transitioned into an expensive market in USD terms, particularly regarding "Protein Inflation."</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Milk Volume Erosion:</w:t>
      </w:r>
      <w:r w:rsidDel="00000000" w:rsidR="00000000" w:rsidRPr="00000000">
        <w:rPr>
          <w:rtl w:val="0"/>
        </w:rPr>
        <w:t xml:space="preserve">  In 2023, $100 USD purchased approximately 200 liters of milk; by February 2026, that same $100 buys only  </w:t>
      </w:r>
      <w:r w:rsidDel="00000000" w:rsidR="00000000" w:rsidRPr="00000000">
        <w:rPr>
          <w:b w:val="1"/>
          <w:bCs w:val="1"/>
          <w:rtl w:val="0"/>
        </w:rPr>
        <w:t xml:space="preserve">118 liters</w:t>
      </w:r>
      <w:r w:rsidDel="00000000" w:rsidR="00000000" w:rsidRPr="00000000">
        <w:rPr>
          <w:rtl w:val="0"/>
        </w:rPr>
        <w:t xml:space="preserve"> , a 41% loss in volume.</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Meat Products:</w:t>
      </w:r>
      <w:r w:rsidDel="00000000" w:rsidR="00000000" w:rsidRPr="00000000">
        <w:rPr>
          <w:rtl w:val="0"/>
        </w:rPr>
        <w:t xml:space="preserve">  Beef prices rose by  </w:t>
      </w:r>
      <w:r w:rsidDel="00000000" w:rsidR="00000000" w:rsidRPr="00000000">
        <w:rPr>
          <w:b w:val="1"/>
          <w:bCs w:val="1"/>
          <w:rtl w:val="0"/>
        </w:rPr>
        <w:t xml:space="preserve">155.2%</w:t>
      </w:r>
      <w:r w:rsidDel="00000000" w:rsidR="00000000" w:rsidRPr="00000000">
        <w:rPr>
          <w:rtl w:val="0"/>
        </w:rPr>
        <w:t xml:space="preserve">  over the period. While a kilogram of beef cost approximately  $12 USD in 2023, the price in 2026 has escalated to </w:t>
      </w:r>
      <w:r w:rsidDel="00000000" w:rsidR="00000000" w:rsidRPr="00000000">
        <w:rPr>
          <w:b w:val="1"/>
          <w:bCs w:val="1"/>
          <w:rtl w:val="0"/>
        </w:rPr>
        <w:t xml:space="preserve">$ 17–$19 USD</w:t>
      </w:r>
      <w:r w:rsidDel="00000000" w:rsidR="00000000" w:rsidRPr="00000000">
        <w:rPr>
          <w:rtl w:val="0"/>
        </w:rPr>
        <w:t xml:space="preserve">.</w:t>
      </w:r>
    </w:p>
    <w:p w:rsidR="00000000" w:rsidDel="00000000" w:rsidP="00000000" w:rsidRDefault="00000000" w:rsidRPr="00000000" w14:paraId="00000013">
      <w:pPr>
        <w:numPr>
          <w:ilvl w:val="0"/>
          <w:numId w:val="1"/>
        </w:numPr>
        <w:ind w:left="720" w:hanging="360"/>
        <w:rPr>
          <w:u w:val="none"/>
        </w:rPr>
      </w:pPr>
      <w:r w:rsidDel="00000000" w:rsidR="00000000" w:rsidRPr="00000000">
        <w:rPr>
          <w:b w:val="1"/>
          <w:bCs w:val="1"/>
          <w:rtl w:val="0"/>
        </w:rPr>
        <w:t xml:space="preserve">Staples:</w:t>
      </w:r>
      <w:r w:rsidDel="00000000" w:rsidR="00000000" w:rsidRPr="00000000">
        <w:rPr>
          <w:rtl w:val="0"/>
        </w:rPr>
        <w:t xml:space="preserve">  Even bread, the least inflated item (rising from 5 TL to 8 TL, or 60%), adds to the budget squeeze when viewed against the 418% hike in housing.</w:t>
      </w:r>
    </w:p>
    <w:p w:rsidR="00000000" w:rsidDel="00000000" w:rsidP="00000000" w:rsidRDefault="00000000" w:rsidRPr="00000000" w14:paraId="00000014">
      <w:pPr>
        <w:pStyle w:val="Heading4"/>
        <w:rPr/>
      </w:pPr>
      <w:bookmarkStart w:colFirst="0" w:colLast="0" w:name="_zcbn4uvvx1bd" w:id="7"/>
      <w:bookmarkEnd w:id="7"/>
      <w:r w:rsidDel="00000000" w:rsidR="00000000" w:rsidRPr="00000000">
        <w:rPr>
          <w:rtl w:val="0"/>
        </w:rPr>
        <w:t xml:space="preserve">4. Operational Costs for Sole Traders (Şahıs Şirketi)</w:t>
      </w:r>
    </w:p>
    <w:p w:rsidR="00000000" w:rsidDel="00000000" w:rsidP="00000000" w:rsidRDefault="00000000" w:rsidRPr="00000000" w14:paraId="00000015">
      <w:pPr>
        <w:rPr/>
      </w:pPr>
      <w:r w:rsidDel="00000000" w:rsidR="00000000" w:rsidRPr="00000000">
        <w:rPr>
          <w:rtl w:val="0"/>
        </w:rPr>
        <w:t xml:space="preserve">For contractors and sole traders, the financial burden is exacerbated by "Service Inertia." Administrative overhead—including accounting fees, virtual office rents, and local tax obligations—has tracked the  </w:t>
      </w:r>
      <w:r w:rsidDel="00000000" w:rsidR="00000000" w:rsidRPr="00000000">
        <w:rPr>
          <w:b w:val="1"/>
          <w:bCs w:val="1"/>
          <w:rtl w:val="0"/>
        </w:rPr>
        <w:t xml:space="preserve">~250% İTO index</w:t>
      </w:r>
      <w:r w:rsidDel="00000000" w:rsidR="00000000" w:rsidRPr="00000000">
        <w:rPr>
          <w:rtl w:val="0"/>
        </w:rPr>
        <w:t xml:space="preserve">  rather than the ~89% USD growth. This creates a severe "margin squeeze" for contractors, as the operational cost of maintaining a legal business entity in Turkey has more than doubled in USD terms, significantly reducing net take-home pay.</w:t>
      </w:r>
    </w:p>
    <w:p w:rsidR="00000000" w:rsidDel="00000000" w:rsidP="00000000" w:rsidRDefault="00000000" w:rsidRPr="00000000" w14:paraId="00000016">
      <w:pPr>
        <w:pStyle w:val="Heading4"/>
        <w:rPr/>
      </w:pPr>
      <w:bookmarkStart w:colFirst="0" w:colLast="0" w:name="_gjuzxa1brmcr" w:id="8"/>
      <w:bookmarkEnd w:id="8"/>
      <w:r w:rsidDel="00000000" w:rsidR="00000000" w:rsidRPr="00000000">
        <w:rPr>
          <w:rtl w:val="0"/>
        </w:rPr>
        <w:t xml:space="preserve">5. Mathematical Modeling of Purchasing Power Loss</w:t>
      </w:r>
    </w:p>
    <w:p w:rsidR="00000000" w:rsidDel="00000000" w:rsidP="00000000" w:rsidRDefault="00000000" w:rsidRPr="00000000" w14:paraId="00000017">
      <w:pPr>
        <w:pStyle w:val="Heading5"/>
        <w:rPr/>
      </w:pPr>
      <w:bookmarkStart w:colFirst="0" w:colLast="0" w:name="_nq3ososh91tw" w:id="9"/>
      <w:bookmarkEnd w:id="9"/>
      <w:r w:rsidDel="00000000" w:rsidR="00000000" w:rsidRPr="00000000">
        <w:rPr>
          <w:rtl w:val="0"/>
        </w:rPr>
        <w:t xml:space="preserve">The "Accelerating Treadmill" Analogy</w:t>
      </w:r>
    </w:p>
    <w:p w:rsidR="00000000" w:rsidDel="00000000" w:rsidP="00000000" w:rsidRDefault="00000000" w:rsidRPr="00000000" w14:paraId="00000018">
      <w:pPr>
        <w:rPr/>
      </w:pPr>
      <w:r w:rsidDel="00000000" w:rsidR="00000000" w:rsidRPr="00000000">
        <w:rPr>
          <w:rtl w:val="0"/>
        </w:rPr>
        <w:t xml:space="preserve">Imagine a runner on a treadmill. In 2023, both the treadmill (life costs) and the runner (USD salary) move at 5 mph; the runner is stable. By 2026, the treadmill has accelerated to 15 mph, but the runner’s speed (the USD/TRY exchange rate) has only increased to 8 mph. Despite moving faster in nominal terms, the runner is being swept off the back of the machine.</w:t>
      </w:r>
    </w:p>
    <w:p w:rsidR="00000000" w:rsidDel="00000000" w:rsidP="00000000" w:rsidRDefault="00000000" w:rsidRPr="00000000" w14:paraId="00000019">
      <w:pPr>
        <w:pStyle w:val="Heading5"/>
        <w:rPr/>
      </w:pPr>
      <w:bookmarkStart w:colFirst="0" w:colLast="0" w:name="_umvbpspcew2s" w:id="10"/>
      <w:bookmarkEnd w:id="10"/>
      <w:r w:rsidDel="00000000" w:rsidR="00000000" w:rsidRPr="00000000">
        <w:rPr>
          <w:rtl w:val="0"/>
        </w:rPr>
        <w:t xml:space="preserve">Calculation of Real Purchasing Power</w:t>
      </w:r>
    </w:p>
    <w:p w:rsidR="00000000" w:rsidDel="00000000" w:rsidP="00000000" w:rsidRDefault="00000000" w:rsidRPr="00000000" w14:paraId="0000001A">
      <w:pPr>
        <w:rPr/>
      </w:pPr>
      <w:r w:rsidDel="00000000" w:rsidR="00000000" w:rsidRPr="00000000">
        <w:rPr>
          <w:rtl w:val="0"/>
        </w:rPr>
        <w:t xml:space="preserve">This model utilizes a weighted Life Cost Index (LCI) consisting of Housing (40%), Food (35%), Transport (15%), and Utilities (10%).</w:t>
      </w:r>
    </w:p>
    <w:p w:rsidR="00000000" w:rsidDel="00000000" w:rsidP="00000000" w:rsidRDefault="00000000" w:rsidRPr="00000000" w14:paraId="0000001B">
      <w:pPr>
        <w:numPr>
          <w:ilvl w:val="0"/>
          <w:numId w:val="2"/>
        </w:numPr>
        <w:ind w:left="720" w:hanging="360"/>
        <w:rPr>
          <w:u w:val="none"/>
        </w:rPr>
      </w:pPr>
      <w:r w:rsidDel="00000000" w:rsidR="00000000" w:rsidRPr="00000000">
        <w:rPr>
          <w:b w:val="1"/>
          <w:bCs w:val="1"/>
          <w:rtl w:val="0"/>
        </w:rPr>
        <w:t xml:space="preserve">Income Growth (TL Equivalent of fixed USD):</w:t>
      </w:r>
      <w:r w:rsidDel="00000000" w:rsidR="00000000" w:rsidRPr="00000000">
        <w:rPr>
          <w:rtl w:val="0"/>
        </w:rPr>
        <w:t xml:space="preserve">   $35.50 / 18.80 =$   </w:t>
      </w:r>
      <w:r w:rsidDel="00000000" w:rsidR="00000000" w:rsidRPr="00000000">
        <w:rPr>
          <w:b w:val="1"/>
          <w:bCs w:val="1"/>
          <w:rtl w:val="0"/>
        </w:rPr>
        <w:t xml:space="preserve">188.83</w:t>
      </w:r>
    </w:p>
    <w:p w:rsidR="00000000" w:rsidDel="00000000" w:rsidP="00000000" w:rsidRDefault="00000000" w:rsidRPr="00000000" w14:paraId="0000001C">
      <w:pPr>
        <w:numPr>
          <w:ilvl w:val="0"/>
          <w:numId w:val="2"/>
        </w:numPr>
        <w:ind w:left="720" w:hanging="360"/>
        <w:rPr>
          <w:u w:val="none"/>
        </w:rPr>
      </w:pPr>
      <w:r w:rsidDel="00000000" w:rsidR="00000000" w:rsidRPr="00000000">
        <w:rPr>
          <w:b w:val="1"/>
          <w:bCs w:val="1"/>
          <w:rtl w:val="0"/>
        </w:rPr>
        <w:t xml:space="preserve">Expense Growth (Weighted LCI):</w:t>
      </w:r>
      <w:r w:rsidDel="00000000" w:rsidR="00000000" w:rsidRPr="00000000">
        <w:rPr>
          <w:rtl w:val="0"/>
        </w:rPr>
        <w:t xml:space="preserve">   $(0.40 \times 418) + (0.35 \times 168) + (0.15 \times 324) + (0.10 \times 150) =$   </w:t>
      </w:r>
      <w:r w:rsidDel="00000000" w:rsidR="00000000" w:rsidRPr="00000000">
        <w:rPr>
          <w:b w:val="1"/>
          <w:bCs w:val="1"/>
          <w:rtl w:val="0"/>
        </w:rPr>
        <w:t xml:space="preserve">289.6% Increase</w:t>
      </w:r>
    </w:p>
    <w:p w:rsidR="00000000" w:rsidDel="00000000" w:rsidP="00000000" w:rsidRDefault="00000000" w:rsidRPr="00000000" w14:paraId="0000001D">
      <w:pPr>
        <w:numPr>
          <w:ilvl w:val="0"/>
          <w:numId w:val="2"/>
        </w:numPr>
        <w:ind w:left="720" w:hanging="360"/>
        <w:rPr>
          <w:u w:val="none"/>
        </w:rPr>
      </w:pPr>
      <w:r w:rsidDel="00000000" w:rsidR="00000000" w:rsidRPr="00000000">
        <w:rPr>
          <w:b w:val="1"/>
          <w:bCs w:val="1"/>
          <w:rtl w:val="0"/>
        </w:rPr>
        <w:t xml:space="preserve">Real Purchasing Power Formula:</w:t>
      </w:r>
      <w:r w:rsidDel="00000000" w:rsidR="00000000" w:rsidRPr="00000000">
        <w:rPr>
          <w:rtl w:val="0"/>
        </w:rPr>
        <w:t xml:space="preserve">  Income Growth / Expense Growth Index = 188.83 / 389.6 (Base 100 + 289.6% increase) = 0.484</w:t>
      </w:r>
      <w:r w:rsidDel="00000000" w:rsidR="00000000" w:rsidRPr="00000000">
        <w:rPr>
          <w:b w:val="1"/>
          <w:bCs w:val="1"/>
          <w:rtl w:val="0"/>
        </w:rPr>
        <w:t xml:space="preserve">Model Conclusion:</w:t>
      </w:r>
      <w:r w:rsidDel="00000000" w:rsidR="00000000" w:rsidRPr="00000000">
        <w:rPr>
          <w:rtl w:val="0"/>
        </w:rPr>
        <w:t xml:space="preserve">  Real purchasing power has collapsed to  </w:t>
      </w:r>
      <w:r w:rsidDel="00000000" w:rsidR="00000000" w:rsidRPr="00000000">
        <w:rPr>
          <w:b w:val="1"/>
          <w:bCs w:val="1"/>
          <w:rtl w:val="0"/>
        </w:rPr>
        <w:t xml:space="preserve">48.4%</w:t>
      </w:r>
      <w:r w:rsidDel="00000000" w:rsidR="00000000" w:rsidRPr="00000000">
        <w:rPr>
          <w:rtl w:val="0"/>
        </w:rPr>
        <w:t xml:space="preserve">  of its 2023 level. To maintain the standard of living established in January 2023, a USD salary would require a  </w:t>
      </w:r>
      <w:r w:rsidDel="00000000" w:rsidR="00000000" w:rsidRPr="00000000">
        <w:rPr>
          <w:b w:val="1"/>
          <w:bCs w:val="1"/>
          <w:rtl w:val="0"/>
        </w:rPr>
        <w:t xml:space="preserve">106% adjustment</w:t>
      </w:r>
      <w:r w:rsidDel="00000000" w:rsidR="00000000" w:rsidRPr="00000000">
        <w:rPr>
          <w:rtl w:val="0"/>
        </w:rPr>
        <w:t xml:space="preserve"> .</w:t>
      </w:r>
    </w:p>
    <w:p w:rsidR="00000000" w:rsidDel="00000000" w:rsidP="00000000" w:rsidRDefault="00000000" w:rsidRPr="00000000" w14:paraId="0000001E">
      <w:pPr>
        <w:pStyle w:val="Heading4"/>
        <w:rPr/>
      </w:pPr>
      <w:bookmarkStart w:colFirst="0" w:colLast="0" w:name="_ipriphwg0khg" w:id="11"/>
      <w:bookmarkEnd w:id="11"/>
      <w:r w:rsidDel="00000000" w:rsidR="00000000" w:rsidRPr="00000000">
        <w:rPr>
          <w:rtl w:val="0"/>
        </w:rPr>
        <w:t xml:space="preserve">6. Conclusion and Strategic Recommendation</w:t>
      </w:r>
    </w:p>
    <w:p w:rsidR="00000000" w:rsidDel="00000000" w:rsidP="00000000" w:rsidRDefault="00000000" w:rsidRPr="00000000" w14:paraId="0000001F">
      <w:pPr>
        <w:rPr/>
      </w:pPr>
      <w:r w:rsidDel="00000000" w:rsidR="00000000" w:rsidRPr="00000000">
        <w:rPr>
          <w:rtl w:val="0"/>
        </w:rPr>
        <w:t xml:space="preserve">The era of "Currency Protection" in the Turkish market has ended. The arbitrage advantage of earning in USD has been completely neutralized by "Local Cost Realization."</w:t>
      </w:r>
      <w:r w:rsidDel="00000000" w:rsidR="00000000" w:rsidRPr="00000000">
        <w:rPr>
          <w:b w:val="1"/>
          <w:bCs w:val="1"/>
          <w:rtl w:val="0"/>
        </w:rPr>
        <w:t xml:space="preserve">Retention Risk and Business Case:</w:t>
      </w:r>
      <w:r w:rsidDel="00000000" w:rsidR="00000000" w:rsidRPr="00000000">
        <w:rPr>
          <w:rtl w:val="0"/>
        </w:rPr>
        <w:t xml:space="preserve">  Failure to address this 51.6% loss in purchasing power introduces a significant "Retention Risk." The cost of replacing specialized, USD-denominated talent—including recruitment fees, onboarding time, and lost productivity—now likely exceeds the cost of a proactive salary adjustment. In a market where service inflation remains "sticky," failing to adjust compensation threatens the stability of the local workforce.</w:t>
      </w:r>
      <w:r w:rsidDel="00000000" w:rsidR="00000000" w:rsidRPr="00000000">
        <w:rPr>
          <w:b w:val="1"/>
          <w:bCs w:val="1"/>
          <w:rtl w:val="0"/>
        </w:rPr>
        <w:t xml:space="preserve">Strategic Recommendation:</w:t>
      </w:r>
      <w:r w:rsidDel="00000000" w:rsidR="00000000" w:rsidRPr="00000000">
        <w:rPr>
          <w:rtl w:val="0"/>
        </w:rPr>
        <w:t xml:space="preserve">  I recommend a formal salary adjustment based on the identified  </w:t>
      </w:r>
      <w:r w:rsidDel="00000000" w:rsidR="00000000" w:rsidRPr="00000000">
        <w:rPr>
          <w:b w:val="1"/>
          <w:bCs w:val="1"/>
          <w:rtl w:val="0"/>
        </w:rPr>
        <w:t xml:space="preserve">51.6% real-term loss</w:t>
      </w:r>
      <w:r w:rsidDel="00000000" w:rsidR="00000000" w:rsidRPr="00000000">
        <w:rPr>
          <w:rtl w:val="0"/>
        </w:rPr>
        <w:t xml:space="preserve"> . An indexation strategy that accounts for local cost escalation—rather than simple exchange rate movements—is the only viable path to ensuring talent retention and standard-of-living stability through 2026.</w:t>
      </w:r>
    </w:p>
    <w:p w:rsidR="00000000" w:rsidDel="00000000" w:rsidP="00000000" w:rsidRDefault="00000000" w:rsidRPr="00000000" w14:paraId="00000020">
      <w:pPr>
        <w:pStyle w:val="Heading4"/>
        <w:rPr/>
      </w:pPr>
      <w:bookmarkStart w:colFirst="0" w:colLast="0" w:name="_5dkgmf2yam36" w:id="12"/>
      <w:bookmarkEnd w:id="12"/>
      <w:r w:rsidDel="00000000" w:rsidR="00000000" w:rsidRPr="00000000">
        <w:rPr>
          <w:rtl w:val="0"/>
        </w:rPr>
        <w:t xml:space="preserve">7. References and Data Sources</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TÜİK (Turkish Statistical Institute):</w:t>
      </w:r>
      <w:r w:rsidDel="00000000" w:rsidR="00000000" w:rsidRPr="00000000">
        <w:rPr>
          <w:rtl w:val="0"/>
        </w:rPr>
        <w:t xml:space="preserve">  Consumer Price Index (CPI) Data 2023–2026.</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İTO (Istanbul Chamber of Commerce):</w:t>
      </w:r>
      <w:r w:rsidDel="00000000" w:rsidR="00000000" w:rsidRPr="00000000">
        <w:rPr>
          <w:rtl w:val="0"/>
        </w:rPr>
        <w:t xml:space="preserve">  Wage Earners' Cost of Living Index.</w:t>
      </w:r>
    </w:p>
    <w:p w:rsidR="00000000" w:rsidDel="00000000" w:rsidP="00000000" w:rsidRDefault="00000000" w:rsidRPr="00000000" w14:paraId="00000023">
      <w:pPr>
        <w:numPr>
          <w:ilvl w:val="0"/>
          <w:numId w:val="3"/>
        </w:numPr>
        <w:ind w:left="720" w:hanging="360"/>
        <w:rPr>
          <w:u w:val="none"/>
        </w:rPr>
      </w:pPr>
      <w:r w:rsidDel="00000000" w:rsidR="00000000" w:rsidRPr="00000000">
        <w:rPr>
          <w:b w:val="1"/>
          <w:bCs w:val="1"/>
          <w:rtl w:val="0"/>
        </w:rPr>
        <w:t xml:space="preserve">IMF (International Monetary Fund):</w:t>
      </w:r>
      <w:r w:rsidDel="00000000" w:rsidR="00000000" w:rsidRPr="00000000">
        <w:rPr>
          <w:rtl w:val="0"/>
        </w:rPr>
        <w:t xml:space="preserve">   </w:t>
      </w:r>
      <w:r w:rsidDel="00000000" w:rsidR="00000000" w:rsidRPr="00000000">
        <w:rPr>
          <w:i w:val="1"/>
          <w:iCs w:val="1"/>
          <w:rtl w:val="0"/>
        </w:rPr>
        <w:t xml:space="preserve">Services Inflation and the Exchange Rate in Türkiye</w:t>
      </w:r>
      <w:r w:rsidDel="00000000" w:rsidR="00000000" w:rsidRPr="00000000">
        <w:rPr>
          <w:rtl w:val="0"/>
        </w:rPr>
        <w:t xml:space="preserve">  (2026).</w:t>
      </w:r>
    </w:p>
    <w:p w:rsidR="00000000" w:rsidDel="00000000" w:rsidP="00000000" w:rsidRDefault="00000000" w:rsidRPr="00000000" w14:paraId="00000024">
      <w:pPr>
        <w:numPr>
          <w:ilvl w:val="0"/>
          <w:numId w:val="3"/>
        </w:numPr>
        <w:ind w:left="720" w:hanging="360"/>
        <w:rPr>
          <w:u w:val="none"/>
        </w:rPr>
      </w:pPr>
      <w:r w:rsidDel="00000000" w:rsidR="00000000" w:rsidRPr="00000000">
        <w:rPr>
          <w:b w:val="1"/>
          <w:bCs w:val="1"/>
          <w:rtl w:val="0"/>
        </w:rPr>
        <w:t xml:space="preserve">BETAM (Bahçeşehir University Center for Economic and Social Research):</w:t>
      </w:r>
      <w:r w:rsidDel="00000000" w:rsidR="00000000" w:rsidRPr="00000000">
        <w:rPr>
          <w:rtl w:val="0"/>
        </w:rPr>
        <w:t xml:space="preserve">   </w:t>
      </w:r>
      <w:r w:rsidDel="00000000" w:rsidR="00000000" w:rsidRPr="00000000">
        <w:rPr>
          <w:i w:val="1"/>
          <w:iCs w:val="1"/>
          <w:rtl w:val="0"/>
        </w:rPr>
        <w:t xml:space="preserve">sahibindex Rental Market Outlook</w:t>
      </w:r>
      <w:r w:rsidDel="00000000" w:rsidR="00000000" w:rsidRPr="00000000">
        <w:rPr>
          <w:rtl w:val="0"/>
        </w:rPr>
        <w:t xml:space="preserve"> .</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CBRT (Central Bank of the Republic of Türkiye):</w:t>
      </w:r>
      <w:r w:rsidDel="00000000" w:rsidR="00000000" w:rsidRPr="00000000">
        <w:rPr>
          <w:rtl w:val="0"/>
        </w:rPr>
        <w:t xml:space="preserve">  USD/TRY Exchange Rate Historical Data.</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ENAG (Inflation Research Group):</w:t>
      </w:r>
      <w:r w:rsidDel="00000000" w:rsidR="00000000" w:rsidRPr="00000000">
        <w:rPr>
          <w:rtl w:val="0"/>
        </w:rPr>
        <w:t xml:space="preserve">  Monthly Inflation Calculations (2024–2026).</w:t>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