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Our students can take a text apart. What they are still learning to do is judge it. That is the story of our reading data this year, and it shapes everything we are doing about it.</w:t>
      </w:r>
    </w:p>
    <w:p>
      <w:pPr>
        <w:spacing w:after="400"/>
      </w:pPr>
      <w:r>
        <w:t xml:space="preserve">Based on the district SDBQs, our overall results held steady, down less than 2 points. But that average hides some big moves, so let me start with the good news. Our biggest gain came in analyzing an author's data and conclusions (11.RI.1.B), up 16 points. Analyzing an author's purpose and technique at grade 10 (10.RI.2.C) rose 13 points, and analyzing how a theme develops (9.RL.1.A) rose 12. All three are analysis skills, and across the whole test, analysis held about steady.</w:t>
      </w:r>
    </w:p>
    <w:p>
      <w:pPr>
        <w:pStyle w:val="Heading3"/>
        <w:spacing w:after="200"/>
      </w:pPr>
      <w:r>
        <w:t xml:space="preserve">TRANSITION</w:t>
      </w:r>
    </w:p>
    <w:p>
      <w:pPr>
        <w:spacing w:after="400"/>
      </w:pPr>
      <w:r>
        <w:t xml:space="preserve">Not everything held steady. Three standards are below target for all students and SWD, and they are our focus for the first marking period. The district SDBQ shows only five MLL students tested at MHS, so their percentages reflect a very small group, not a trend.</w:t>
      </w:r>
    </w:p>
    <w:p>
      <w:pPr>
        <w:pStyle w:val="Heading3"/>
        <w:spacing w:after="200"/>
      </w:pPr>
      <w:r>
        <w:t xml:space="preserve">SIGNIFICANT GAPS</w:t>
      </w:r>
    </w:p>
    <w:p>
      <w:pPr>
        <w:spacing w:after="200"/>
      </w:pPr>
      <w:r>
        <w:t xml:space="preserve">All three sit at the top of Bloom’s, and this is where judging comes in. Evaluate questions were 55% correct, down 9 points, while analyze questions held about steady at 62%.</w:t>
      </w:r>
    </w:p>
    <w:p>
      <w:pPr>
        <w:spacing w:after="200"/>
      </w:pPr>
      <w:r>
        <w:t xml:space="preserve">The first gap is evaluating details that support or refute an argument (10.RI.1.C), our lowest-scoring high-volume standard. All students scored 52%, SWD 41%, and MLL 32%. Students find the details, but they can’t tell which ones support the argument and which ones undercut it.</w:t>
      </w:r>
    </w:p>
    <w:p>
      <w:pPr>
        <w:spacing w:after="200"/>
      </w:pPr>
      <w:r>
        <w:t xml:space="preserve">The second is analyzing an author's purpose and technique at grade 11 (11.RI.2.C), our steepest drop. All students scored 36%, SWD 20%, and MLL 100%. That is a 36-point drop for all students, and the MLL figure is five students on one low-difficulty question. Students can name the technique, but they don’t connect it to its effect.</w:t>
      </w:r>
    </w:p>
    <w:p>
      <w:pPr>
        <w:spacing w:after="400"/>
      </w:pPr>
      <w:r>
        <w:t xml:space="preserve">The third is evaluating how word choice and tone reveal an author's viewpoint (11.RL.2.B). All students scored 58%, SWD 41%, and MLL 20%. Students need practice explaining why those choices matter.</w:t>
      </w:r>
    </w:p>
    <w:p>
      <w:pPr>
        <w:pStyle w:val="Heading3"/>
        <w:spacing w:after="200"/>
      </w:pPr>
      <w:r>
        <w:t xml:space="preserve">TIER 1 RESPONSE</w:t>
      </w:r>
    </w:p>
    <w:p>
      <w:pPr>
        <w:spacing w:after="200"/>
      </w:pPr>
      <w:r>
        <w:t xml:space="preserve">Our Tier 1 response follows the district's Plan, Teach, Assess framework. When we plan, each routine targets one of these three standards. Supports for SWD and MLL are built in from the start, including organizers, sentence starters, and pre-taught vocabulary, and each routine is aimed at the misconceptions the data shows.</w:t>
      </w:r>
    </w:p>
    <w:p>
      <w:pPr>
        <w:spacing w:after="400"/>
      </w:pPr>
      <w:r>
        <w:t xml:space="preserve">When we teach, that plan becomes three routines. Once a week, students do a claim check. They read two short texts on the same topic, sort the details that support the claim from the ones that contradict it, and explain their thinking, after the teacher models it first. For author's purpose, students mark one technique and complete a frame: the author uses this technique to create this effect, and it shows this purpose. And every day, for five minutes, students annotate one word or tone choice and explain what it shows about the author's viewpoint.</w:t>
      </w:r>
    </w:p>
    <w:p>
      <w:pPr>
        <w:pStyle w:val="Heading3"/>
        <w:spacing w:after="200"/>
      </w:pPr>
      <w:r>
        <w:t xml:space="preserve">MONITORING</w:t>
      </w:r>
    </w:p>
    <w:p>
      <w:pPr>
        <w:spacing w:after="400"/>
      </w:pPr>
      <w:r>
        <w:t xml:space="preserve">When we assess, we give a five-item check on each skill every three weeks, broken out for all students, SWD, and MLL, and those results shape the next round of planning. Feedback to students focuses on their reasoning, not just the answer. Walkthroughs confirm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students can already take a text apart. This year, we teach them to judge it.</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2026-09-30T11:21:30.935Z</dcterms:created>
  <dcterms:modified xsi:type="dcterms:W3CDTF">2026-09-30T11:21:30.945Z</dcterms:modified>
</cp:coreProperties>
</file>

<file path=docProps/custom.xml><?xml version="1.0" encoding="utf-8"?>
<Properties xmlns="http://schemas.openxmlformats.org/officeDocument/2006/custom-properties" xmlns:vt="http://schemas.openxmlformats.org/officeDocument/2006/docPropsVTypes"/>
</file>