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district SDBQs, we held steady, down less than 2 points. But that average hides some big moves. Good news first.</w:t>
      </w:r>
    </w:p>
    <w:p>
      <w:pPr>
        <w:spacing w:after="400"/>
      </w:pPr>
      <w:r>
        <w:t xml:space="preserve">Our biggest gain is the one I opened with: analyzing an author's data and conclusions (11.RI.1.B), up 16 points. Analyzing an author's purpose and technique at grade 10 (10.RI.2.C) rose 13, and analyzing how a theme develops (9.RL.1.A) rose 12. All three are analysis skills, and analysis held steady across the test.</w:t>
      </w:r>
    </w:p>
    <w:p>
      <w:pPr>
        <w:pStyle w:val="Heading3"/>
        <w:spacing w:after="200"/>
      </w:pPr>
      <w:r>
        <w:t xml:space="preserve">TRANSITION</w:t>
      </w:r>
    </w:p>
    <w:p>
      <w:pPr>
        <w:spacing w:after="400"/>
      </w:pPr>
      <w:r>
        <w:t xml:space="preserve">Not everything held steady. Three standards are below target for all students and SWD, and they are our focus for the first marking period. The district SDBQ shows only five MLL students tested at MHS, so their percentages reflect a very small group, not a trend.</w:t>
      </w:r>
    </w:p>
    <w:p>
      <w:pPr>
        <w:pStyle w:val="Heading3"/>
        <w:spacing w:after="200"/>
      </w:pPr>
      <w:r>
        <w:t xml:space="preserve">SIGNIFICANT GAPS</w:t>
      </w:r>
    </w:p>
    <w:p>
      <w:pPr>
        <w:spacing w:after="200"/>
      </w:pPr>
      <w:r>
        <w:t xml:space="preserve">All three sit at the top of Bloom’s. Evaluate questions were 53% correct, down 11 points, while analyze questions held at 65%. Students can take a text apart. They struggle to judge it.</w:t>
      </w:r>
    </w:p>
    <w:p>
      <w:pPr>
        <w:spacing w:after="200"/>
      </w:pPr>
      <w:r>
        <w:t xml:space="preserve">First, evaluating details that support or refute an argument (10.RI.1.C), our lowest-scoring high-volume standard. All students 52%, SWD 41%, MLL 32%. Students find the details but can’t tell which ones support the argument and which undercut it.</w:t>
      </w:r>
    </w:p>
    <w:p>
      <w:pPr>
        <w:spacing w:after="200"/>
      </w:pPr>
      <w:r>
        <w:t xml:space="preserve">Second, analyzing an author's purpose and technique at grade 11 (11.RI.2.C), the drop I opened with. All students 36%, SWD 20%, MLL 100%. That is a 36-point drop for all students, and the MLL figure is five students on one low-difficulty question. Students name the technique but don’t connect it to its effect.</w:t>
      </w:r>
    </w:p>
    <w:p>
      <w:pPr>
        <w:spacing w:after="400"/>
      </w:pPr>
      <w:r>
        <w:t xml:space="preserve">Third, evaluating how word choice and tone reveal an author's viewpoint (11.RL.2.B). All students 58%, SWD 41%, MLL 20%. Students need practice explaining why those choices matter.</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2026-09-30T00:23:53.593Z</dcterms:created>
  <dcterms:modified xsi:type="dcterms:W3CDTF">2026-09-30T00:23:53.593Z</dcterms:modified>
</cp:coreProperties>
</file>

<file path=docProps/custom.xml><?xml version="1.0" encoding="utf-8"?>
<Properties xmlns="http://schemas.openxmlformats.org/officeDocument/2006/custom-properties" xmlns:vt="http://schemas.openxmlformats.org/officeDocument/2006/docPropsVTypes"/>
</file>