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Our response follows the district's Plan, Teach, Assess framework, and it starts with the data.</w:t>
      </w:r>
    </w:p>
    <w:p>
      <w:pPr>
        <w:spacing w:after="200"/>
      </w:pPr>
      <w:r>
        <w:t xml:space="preserve">First, the gains. 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400"/>
      </w:pPr>
      <w:r>
        <w:t xml:space="preserve">All students 58%, SWD 41%, MLL 2 of 10 correct. Students need practice explaining how a writer's choices show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2026-09-29T23:19:22.194Z</dcterms:created>
  <dcterms:modified xsi:type="dcterms:W3CDTF">2026-09-29T23:19:22.206Z</dcterms:modified>
</cp:coreProperties>
</file>

<file path=docProps/custom.xml><?xml version="1.0" encoding="utf-8"?>
<Properties xmlns="http://schemas.openxmlformats.org/officeDocument/2006/custom-properties" xmlns:vt="http://schemas.openxmlformats.org/officeDocument/2006/docPropsVTypes"/>
</file>